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7B8E0" w14:textId="2BC5574D" w:rsidR="009D10B7" w:rsidRDefault="003D6A8C" w:rsidP="004C2FE9">
      <w:pPr>
        <w:pStyle w:val="Title"/>
        <w:rPr>
          <w:rFonts w:ascii="Book Antiqua" w:eastAsia="Book Antiqua" w:hAnsi="Book Antiqua" w:cs="Book Antiqua"/>
          <w:sz w:val="32"/>
          <w:szCs w:val="32"/>
        </w:rPr>
        <w:sectPr w:rsidR="009D10B7" w:rsidSect="00FD079B">
          <w:headerReference w:type="default" r:id="rId9"/>
          <w:footerReference w:type="default" r:id="rId10"/>
          <w:pgSz w:w="12240" w:h="15840"/>
          <w:pgMar w:top="1440" w:right="1440" w:bottom="1440" w:left="1440" w:header="720" w:footer="720" w:gutter="0"/>
          <w:pgNumType w:start="398"/>
          <w:cols w:space="720"/>
        </w:sectPr>
      </w:pPr>
      <w:r w:rsidRPr="003D6A8C">
        <w:rPr>
          <w:rFonts w:ascii="Book Antiqua" w:eastAsia="Book Antiqua" w:hAnsi="Book Antiqua" w:cs="Book Antiqua"/>
          <w:sz w:val="32"/>
          <w:szCs w:val="32"/>
        </w:rPr>
        <w:t>Islamic Circular Economy: From Conceptual Controversies To A Transformative Qur’an And Hadith-Based Framework For Sustainable Development</w:t>
      </w:r>
      <w:r w:rsidRPr="00556668">
        <w:rPr>
          <w:rFonts w:ascii="Book Antiqua" w:eastAsia="Book Antiqua" w:hAnsi="Book Antiqua" w:cs="Book Antiqua"/>
          <w:sz w:val="32"/>
          <w:szCs w:val="32"/>
        </w:rPr>
        <w:t xml:space="preserve"> </w:t>
      </w:r>
    </w:p>
    <w:p w14:paraId="5BD53956" w14:textId="1813AD8A" w:rsidR="009D10B7" w:rsidRPr="00F54C5E" w:rsidRDefault="009D10B7" w:rsidP="004C20A5">
      <w:pPr>
        <w:rPr>
          <w:rFonts w:ascii="Book Antiqua" w:eastAsia="Book Antiqua" w:hAnsi="Book Antiqua" w:cs="Book Antiqua"/>
          <w:b/>
          <w:sz w:val="18"/>
          <w:szCs w:val="18"/>
        </w:rPr>
      </w:pPr>
    </w:p>
    <w:p w14:paraId="6C80AFB1" w14:textId="77777777" w:rsidR="00C13444" w:rsidRPr="00F54C5E" w:rsidRDefault="00C13444" w:rsidP="004C20A5">
      <w:pPr>
        <w:rPr>
          <w:rFonts w:ascii="Book Antiqua" w:eastAsia="Book Antiqua" w:hAnsi="Book Antiqua" w:cs="Book Antiqua"/>
          <w:b/>
          <w:sz w:val="18"/>
          <w:szCs w:val="18"/>
        </w:rPr>
      </w:pPr>
    </w:p>
    <w:p w14:paraId="6E7FB684" w14:textId="77777777" w:rsidR="003D6A8C" w:rsidRDefault="003D6A8C" w:rsidP="003D6A8C">
      <w:pPr>
        <w:jc w:val="center"/>
        <w:rPr>
          <w:rFonts w:ascii="Book Antiqua" w:eastAsia="Book Antiqua" w:hAnsi="Book Antiqua" w:cs="Book Antiqua"/>
          <w:b/>
          <w:sz w:val="24"/>
          <w:szCs w:val="24"/>
        </w:rPr>
      </w:pPr>
      <w:r>
        <w:rPr>
          <w:rFonts w:ascii="Book Antiqua" w:eastAsia="Book Antiqua" w:hAnsi="Book Antiqua" w:cs="Book Antiqua"/>
          <w:b/>
          <w:sz w:val="24"/>
          <w:szCs w:val="24"/>
        </w:rPr>
        <w:t>Nur Nugrahani Setiawati</w:t>
      </w:r>
      <w:r>
        <w:rPr>
          <w:rFonts w:ascii="Book Antiqua" w:eastAsia="Book Antiqua" w:hAnsi="Book Antiqua" w:cs="Book Antiqua"/>
          <w:b/>
          <w:sz w:val="24"/>
          <w:szCs w:val="24"/>
          <w:vertAlign w:val="superscript"/>
        </w:rPr>
        <w:t>1</w:t>
      </w:r>
      <w:r>
        <w:rPr>
          <w:rFonts w:ascii="Book Antiqua" w:eastAsia="Book Antiqua" w:hAnsi="Book Antiqua" w:cs="Book Antiqua"/>
          <w:b/>
          <w:sz w:val="24"/>
          <w:szCs w:val="24"/>
        </w:rPr>
        <w:t xml:space="preserve">, </w:t>
      </w:r>
      <w:r w:rsidRPr="00432AF9">
        <w:rPr>
          <w:rFonts w:ascii="Book Antiqua" w:eastAsia="Book Antiqua" w:hAnsi="Book Antiqua" w:cs="Book Antiqua"/>
          <w:b/>
          <w:sz w:val="24"/>
          <w:szCs w:val="24"/>
        </w:rPr>
        <w:t>Khusnudin</w:t>
      </w:r>
      <w:r>
        <w:rPr>
          <w:rFonts w:ascii="Book Antiqua" w:eastAsia="Book Antiqua" w:hAnsi="Book Antiqua" w:cs="Book Antiqua"/>
          <w:b/>
          <w:sz w:val="24"/>
          <w:szCs w:val="24"/>
          <w:vertAlign w:val="superscript"/>
        </w:rPr>
        <w:t>2</w:t>
      </w:r>
      <w:r>
        <w:rPr>
          <w:rFonts w:ascii="Book Antiqua" w:eastAsia="Book Antiqua" w:hAnsi="Book Antiqua" w:cs="Book Antiqua"/>
          <w:b/>
          <w:sz w:val="24"/>
          <w:szCs w:val="24"/>
        </w:rPr>
        <w:t xml:space="preserve"> </w:t>
      </w:r>
    </w:p>
    <w:p w14:paraId="3489C663" w14:textId="77777777" w:rsidR="003D6A8C" w:rsidRDefault="003D6A8C" w:rsidP="003D6A8C">
      <w:pPr>
        <w:jc w:val="center"/>
        <w:rPr>
          <w:rFonts w:ascii="Book Antiqua" w:eastAsia="Book Antiqua" w:hAnsi="Book Antiqua" w:cs="Book Antiqua"/>
          <w:sz w:val="18"/>
          <w:szCs w:val="18"/>
        </w:rPr>
      </w:pPr>
      <w:bookmarkStart w:id="0" w:name="_heading=h.30j0zll" w:colFirst="0" w:colLast="0"/>
      <w:bookmarkEnd w:id="0"/>
      <w:r>
        <w:rPr>
          <w:rFonts w:ascii="Book Antiqua" w:eastAsia="Book Antiqua" w:hAnsi="Book Antiqua" w:cs="Book Antiqua"/>
          <w:sz w:val="18"/>
          <w:szCs w:val="18"/>
          <w:vertAlign w:val="superscript"/>
        </w:rPr>
        <w:t xml:space="preserve">1 </w:t>
      </w:r>
      <w:r w:rsidRPr="00A96FC0">
        <w:rPr>
          <w:rFonts w:ascii="Book Antiqua" w:eastAsia="Book Antiqua" w:hAnsi="Book Antiqua" w:cs="Book Antiqua"/>
          <w:sz w:val="18"/>
          <w:szCs w:val="18"/>
        </w:rPr>
        <w:t>Islamic Economics Postgraduate Program Universitas Islam Negeri Maulana Malik Ibrahim, Malang, Indonesia</w:t>
      </w:r>
    </w:p>
    <w:p w14:paraId="19995BD1" w14:textId="248C951D" w:rsidR="00C13444" w:rsidRDefault="003D6A8C" w:rsidP="003D6A8C">
      <w:pPr>
        <w:jc w:val="center"/>
        <w:rPr>
          <w:rFonts w:ascii="Book Antiqua" w:eastAsia="Book Antiqua" w:hAnsi="Book Antiqua" w:cs="Book Antiqua"/>
          <w:b/>
        </w:rPr>
      </w:pPr>
      <w:r>
        <w:rPr>
          <w:rFonts w:ascii="Book Antiqua" w:eastAsia="Book Antiqua" w:hAnsi="Book Antiqua" w:cs="Book Antiqua"/>
          <w:sz w:val="18"/>
          <w:szCs w:val="18"/>
          <w:vertAlign w:val="superscript"/>
        </w:rPr>
        <w:t xml:space="preserve">2 </w:t>
      </w:r>
      <w:r w:rsidRPr="00A96FC0">
        <w:rPr>
          <w:rFonts w:ascii="Book Antiqua" w:eastAsia="Book Antiqua" w:hAnsi="Book Antiqua" w:cs="Book Antiqua"/>
          <w:sz w:val="18"/>
          <w:szCs w:val="18"/>
        </w:rPr>
        <w:t>Universitas Islam Negeri Maulana Malik Ibrahim, Malang, Indonesia</w:t>
      </w:r>
    </w:p>
    <w:p w14:paraId="290D0A13" w14:textId="77777777" w:rsidR="009D10B7" w:rsidRDefault="009D10B7" w:rsidP="004C2FE9">
      <w:pPr>
        <w:jc w:val="center"/>
        <w:rPr>
          <w:rFonts w:ascii="Book Antiqua" w:eastAsia="Book Antiqua" w:hAnsi="Book Antiqua" w:cs="Book Antiqua"/>
          <w:sz w:val="18"/>
          <w:szCs w:val="18"/>
        </w:rPr>
      </w:pPr>
    </w:p>
    <w:p w14:paraId="1EF5B73B" w14:textId="77777777" w:rsidR="00F54C5E" w:rsidRDefault="00F54C5E" w:rsidP="004C2FE9">
      <w:pPr>
        <w:jc w:val="center"/>
        <w:rPr>
          <w:rFonts w:ascii="Book Antiqua" w:eastAsia="Book Antiqua" w:hAnsi="Book Antiqua" w:cs="Book Antiqua"/>
          <w:sz w:val="18"/>
          <w:szCs w:val="18"/>
        </w:rPr>
      </w:pPr>
    </w:p>
    <w:tbl>
      <w:tblPr>
        <w:tblStyle w:val="a"/>
        <w:tblW w:w="9355" w:type="dxa"/>
        <w:jc w:val="center"/>
        <w:tblBorders>
          <w:top w:val="nil"/>
          <w:left w:val="nil"/>
          <w:bottom w:val="nil"/>
          <w:right w:val="nil"/>
          <w:insideH w:val="nil"/>
          <w:insideV w:val="nil"/>
        </w:tblBorders>
        <w:tblLayout w:type="fixed"/>
        <w:tblLook w:val="0400" w:firstRow="0" w:lastRow="0" w:firstColumn="0" w:lastColumn="0" w:noHBand="0" w:noVBand="1"/>
      </w:tblPr>
      <w:tblGrid>
        <w:gridCol w:w="895"/>
        <w:gridCol w:w="2263"/>
        <w:gridCol w:w="282"/>
        <w:gridCol w:w="5915"/>
      </w:tblGrid>
      <w:tr w:rsidR="009D10B7" w14:paraId="4599B2D5" w14:textId="77777777" w:rsidTr="00F54C5E">
        <w:trPr>
          <w:jc w:val="center"/>
        </w:trPr>
        <w:tc>
          <w:tcPr>
            <w:tcW w:w="3158" w:type="dxa"/>
            <w:gridSpan w:val="2"/>
            <w:tcBorders>
              <w:top w:val="single" w:sz="4" w:space="0" w:color="000000"/>
              <w:bottom w:val="single" w:sz="4" w:space="0" w:color="000000"/>
            </w:tcBorders>
          </w:tcPr>
          <w:p w14:paraId="74483CE9" w14:textId="77777777" w:rsidR="009D10B7" w:rsidRDefault="00000000" w:rsidP="00F54C5E">
            <w:pPr>
              <w:spacing w:before="120"/>
              <w:jc w:val="both"/>
              <w:rPr>
                <w:rFonts w:ascii="Book Antiqua" w:eastAsia="Book Antiqua" w:hAnsi="Book Antiqua" w:cs="Book Antiqua"/>
                <w:b/>
                <w:sz w:val="22"/>
                <w:szCs w:val="22"/>
              </w:rPr>
            </w:pPr>
            <w:r>
              <w:rPr>
                <w:rFonts w:ascii="Book Antiqua" w:eastAsia="Book Antiqua" w:hAnsi="Book Antiqua" w:cs="Book Antiqua"/>
                <w:b/>
                <w:sz w:val="22"/>
                <w:szCs w:val="22"/>
              </w:rPr>
              <w:t>Article Info</w:t>
            </w:r>
          </w:p>
        </w:tc>
        <w:tc>
          <w:tcPr>
            <w:tcW w:w="282" w:type="dxa"/>
            <w:tcBorders>
              <w:top w:val="single" w:sz="4" w:space="0" w:color="000000"/>
            </w:tcBorders>
          </w:tcPr>
          <w:p w14:paraId="1255B7D3" w14:textId="77777777" w:rsidR="009D10B7" w:rsidRDefault="009D10B7" w:rsidP="00F54C5E">
            <w:pPr>
              <w:spacing w:before="120"/>
              <w:jc w:val="center"/>
              <w:rPr>
                <w:rFonts w:ascii="Book Antiqua" w:eastAsia="Book Antiqua" w:hAnsi="Book Antiqua" w:cs="Book Antiqua"/>
                <w:i/>
                <w:sz w:val="22"/>
                <w:szCs w:val="22"/>
              </w:rPr>
            </w:pPr>
          </w:p>
        </w:tc>
        <w:tc>
          <w:tcPr>
            <w:tcW w:w="5915" w:type="dxa"/>
            <w:tcBorders>
              <w:top w:val="single" w:sz="4" w:space="0" w:color="000000"/>
              <w:bottom w:val="single" w:sz="4" w:space="0" w:color="auto"/>
            </w:tcBorders>
          </w:tcPr>
          <w:p w14:paraId="7D79D2D2" w14:textId="08FE2939" w:rsidR="009D10B7" w:rsidRDefault="00000000" w:rsidP="00F54C5E">
            <w:pPr>
              <w:spacing w:before="120"/>
              <w:rPr>
                <w:rFonts w:ascii="Book Antiqua" w:eastAsia="Book Antiqua" w:hAnsi="Book Antiqua" w:cs="Book Antiqua"/>
                <w:color w:val="000000"/>
                <w:sz w:val="22"/>
                <w:szCs w:val="22"/>
              </w:rPr>
            </w:pPr>
            <w:r>
              <w:rPr>
                <w:rFonts w:ascii="Book Antiqua" w:eastAsia="Book Antiqua" w:hAnsi="Book Antiqua" w:cs="Book Antiqua"/>
                <w:b/>
                <w:color w:val="000000"/>
                <w:sz w:val="22"/>
                <w:szCs w:val="22"/>
              </w:rPr>
              <w:t>ABSTRACT</w:t>
            </w:r>
          </w:p>
        </w:tc>
      </w:tr>
      <w:tr w:rsidR="009D10B7" w14:paraId="58F29AF2" w14:textId="77777777" w:rsidTr="00F54C5E">
        <w:trPr>
          <w:trHeight w:val="260"/>
          <w:jc w:val="center"/>
        </w:trPr>
        <w:tc>
          <w:tcPr>
            <w:tcW w:w="3158" w:type="dxa"/>
            <w:gridSpan w:val="2"/>
            <w:tcBorders>
              <w:top w:val="single" w:sz="4" w:space="0" w:color="000000"/>
            </w:tcBorders>
          </w:tcPr>
          <w:p w14:paraId="346E68A0" w14:textId="77777777" w:rsidR="009D10B7" w:rsidRDefault="00000000" w:rsidP="00F54C5E">
            <w:pPr>
              <w:spacing w:before="120"/>
              <w:jc w:val="both"/>
              <w:rPr>
                <w:rFonts w:ascii="Book Antiqua" w:eastAsia="Book Antiqua" w:hAnsi="Book Antiqua" w:cs="Book Antiqua"/>
                <w:i/>
                <w:sz w:val="18"/>
                <w:szCs w:val="18"/>
              </w:rPr>
            </w:pPr>
            <w:r>
              <w:rPr>
                <w:rFonts w:ascii="Book Antiqua" w:eastAsia="Book Antiqua" w:hAnsi="Book Antiqua" w:cs="Book Antiqua"/>
                <w:b/>
                <w:i/>
              </w:rPr>
              <w:t>Article history:</w:t>
            </w:r>
          </w:p>
        </w:tc>
        <w:tc>
          <w:tcPr>
            <w:tcW w:w="282" w:type="dxa"/>
            <w:vMerge w:val="restart"/>
            <w:tcBorders>
              <w:right w:val="nil"/>
            </w:tcBorders>
          </w:tcPr>
          <w:p w14:paraId="0AB09466" w14:textId="77777777" w:rsidR="009D10B7" w:rsidRDefault="009D10B7" w:rsidP="004C2FE9">
            <w:pPr>
              <w:jc w:val="both"/>
              <w:rPr>
                <w:rFonts w:ascii="Book Antiqua" w:eastAsia="Book Antiqua" w:hAnsi="Book Antiqua" w:cs="Book Antiqua"/>
              </w:rPr>
            </w:pPr>
          </w:p>
        </w:tc>
        <w:tc>
          <w:tcPr>
            <w:tcW w:w="5915" w:type="dxa"/>
            <w:vMerge w:val="restart"/>
            <w:tcBorders>
              <w:top w:val="single" w:sz="4" w:space="0" w:color="auto"/>
              <w:left w:val="nil"/>
              <w:bottom w:val="nil"/>
              <w:right w:val="nil"/>
            </w:tcBorders>
          </w:tcPr>
          <w:p w14:paraId="4C2595DA" w14:textId="1B852B5E" w:rsidR="009D10B7" w:rsidRDefault="00D73388" w:rsidP="00F54C5E">
            <w:pPr>
              <w:spacing w:before="120" w:after="240"/>
              <w:jc w:val="both"/>
              <w:rPr>
                <w:rFonts w:ascii="Book Antiqua" w:eastAsia="Book Antiqua" w:hAnsi="Book Antiqua" w:cs="Book Antiqua"/>
                <w:i/>
                <w:sz w:val="18"/>
                <w:szCs w:val="18"/>
              </w:rPr>
            </w:pPr>
            <w:r w:rsidRPr="00BC5956">
              <w:rPr>
                <w:rFonts w:ascii="Book Antiqua" w:eastAsia="Book Antiqua" w:hAnsi="Book Antiqua" w:cs="Book Antiqua"/>
                <w:i/>
                <w:color w:val="000000"/>
                <w:sz w:val="18"/>
                <w:szCs w:val="18"/>
              </w:rPr>
              <w:t>The growing environmental crisis, resource depletion, and increasing waste generation have positioned the Circular Economy (CE) as a key strategy for achieving sustainable development. However, the existing CE framework is predominantly developed from economic and environmental perspectives, with limited attention to its ethical and spiritual dimensions. This study aims to reconstruct the concept of Islamic Circular Economy (ICE) by developing a transformative framework grounded in the Qur'an and Hadith to address conceptual controversies and strengthen the theoretical foundation of sustainable development. A qualitative approach was employed using library research combined with qualitative content analysis and thematic analysis. Data were collected from the Qur'an, authentic Hadith, and scholarly publications publications indexed in Scopus and Google Scholar on Circular Economy, Islamic Economics, and Sustainable Development published between 2015 and 2026. The findings reveal three major themes. First, the Qur'an and Hadith provide the epistemological foundation for Islamic Circular Economy through the principles of tawhid, khalifah, amanah, mizan, and islah. Second, these Islamic principles are conceptually aligned with the core practices of Circular Economy, including resource efficiency, waste reduction, regeneration, and environmental stewardship. Third, the proposed framework integrates theological, ethical, economic, social, and environmental dimensions into a comprehensive model that addresses conceptual fragmentation in previous studies. This study contributes a novel conceptual framework that positions Islamic Circular Economy as an independent paradigm for achieving sustainable development based on Islamic values.</w:t>
            </w:r>
          </w:p>
        </w:tc>
      </w:tr>
      <w:tr w:rsidR="009D10B7" w14:paraId="1E340314" w14:textId="77777777" w:rsidTr="00F54C5E">
        <w:trPr>
          <w:trHeight w:val="170"/>
          <w:jc w:val="center"/>
        </w:trPr>
        <w:tc>
          <w:tcPr>
            <w:tcW w:w="895" w:type="dxa"/>
          </w:tcPr>
          <w:p w14:paraId="6E2F0C14" w14:textId="77777777" w:rsidR="009D10B7" w:rsidRPr="00F54C5E" w:rsidRDefault="00000000" w:rsidP="004C2FE9">
            <w:pPr>
              <w:jc w:val="both"/>
              <w:rPr>
                <w:rFonts w:ascii="Book Antiqua" w:eastAsia="Book Antiqua" w:hAnsi="Book Antiqua" w:cs="Book Antiqua"/>
                <w:i/>
                <w:sz w:val="18"/>
                <w:szCs w:val="18"/>
              </w:rPr>
            </w:pPr>
            <w:r w:rsidRPr="00F54C5E">
              <w:rPr>
                <w:rFonts w:ascii="Book Antiqua" w:eastAsia="Book Antiqua" w:hAnsi="Book Antiqua" w:cs="Book Antiqua"/>
                <w:i/>
                <w:sz w:val="18"/>
                <w:szCs w:val="18"/>
              </w:rPr>
              <w:t>Received</w:t>
            </w:r>
          </w:p>
        </w:tc>
        <w:tc>
          <w:tcPr>
            <w:tcW w:w="2263" w:type="dxa"/>
          </w:tcPr>
          <w:p w14:paraId="1DEF5720" w14:textId="25E1CD31" w:rsidR="009D10B7" w:rsidRPr="00F54C5E" w:rsidRDefault="00000000" w:rsidP="004C2FE9">
            <w:pPr>
              <w:jc w:val="both"/>
              <w:rPr>
                <w:rFonts w:ascii="Book Antiqua" w:eastAsia="Book Antiqua" w:hAnsi="Book Antiqua" w:cs="Book Antiqua"/>
                <w:i/>
                <w:sz w:val="18"/>
                <w:szCs w:val="18"/>
              </w:rPr>
            </w:pPr>
            <w:r w:rsidRPr="00F54C5E">
              <w:rPr>
                <w:rFonts w:ascii="Book Antiqua" w:eastAsia="Book Antiqua" w:hAnsi="Book Antiqua" w:cs="Book Antiqua"/>
                <w:b/>
                <w:i/>
                <w:sz w:val="18"/>
                <w:szCs w:val="18"/>
              </w:rPr>
              <w:t xml:space="preserve">: </w:t>
            </w:r>
            <w:r w:rsidR="00D73388">
              <w:rPr>
                <w:rFonts w:ascii="Book Antiqua" w:eastAsia="Book Antiqua" w:hAnsi="Book Antiqua" w:cs="Book Antiqua"/>
                <w:i/>
                <w:sz w:val="18"/>
                <w:szCs w:val="18"/>
              </w:rPr>
              <w:t>14</w:t>
            </w:r>
            <w:r w:rsidRPr="00F54C5E">
              <w:rPr>
                <w:rFonts w:ascii="Book Antiqua" w:eastAsia="Book Antiqua" w:hAnsi="Book Antiqua" w:cs="Book Antiqua"/>
                <w:i/>
                <w:sz w:val="18"/>
                <w:szCs w:val="18"/>
              </w:rPr>
              <w:t>/0</w:t>
            </w:r>
            <w:r w:rsidR="00D73388">
              <w:rPr>
                <w:rFonts w:ascii="Book Antiqua" w:eastAsia="Book Antiqua" w:hAnsi="Book Antiqua" w:cs="Book Antiqua"/>
                <w:i/>
                <w:sz w:val="18"/>
                <w:szCs w:val="18"/>
              </w:rPr>
              <w:t>7</w:t>
            </w:r>
            <w:r w:rsidRPr="00F54C5E">
              <w:rPr>
                <w:rFonts w:ascii="Book Antiqua" w:eastAsia="Book Antiqua" w:hAnsi="Book Antiqua" w:cs="Book Antiqua"/>
                <w:i/>
                <w:sz w:val="18"/>
                <w:szCs w:val="18"/>
              </w:rPr>
              <w:t>/</w:t>
            </w:r>
            <w:r w:rsidR="00F54C5E">
              <w:rPr>
                <w:rFonts w:ascii="Book Antiqua" w:eastAsia="Book Antiqua" w:hAnsi="Book Antiqua" w:cs="Book Antiqua"/>
                <w:i/>
                <w:sz w:val="18"/>
                <w:szCs w:val="18"/>
              </w:rPr>
              <w:t>2026</w:t>
            </w:r>
          </w:p>
        </w:tc>
        <w:tc>
          <w:tcPr>
            <w:tcW w:w="282" w:type="dxa"/>
            <w:vMerge/>
            <w:tcBorders>
              <w:right w:val="nil"/>
            </w:tcBorders>
          </w:tcPr>
          <w:p w14:paraId="01EE23D8" w14:textId="77777777" w:rsidR="009D10B7" w:rsidRDefault="009D10B7" w:rsidP="004C2FE9">
            <w:pPr>
              <w:widowControl w:val="0"/>
              <w:pBdr>
                <w:top w:val="nil"/>
                <w:left w:val="nil"/>
                <w:bottom w:val="nil"/>
                <w:right w:val="nil"/>
                <w:between w:val="nil"/>
              </w:pBdr>
              <w:rPr>
                <w:rFonts w:ascii="Book Antiqua" w:eastAsia="Book Antiqua" w:hAnsi="Book Antiqua" w:cs="Book Antiqua"/>
                <w:i/>
                <w:sz w:val="18"/>
                <w:szCs w:val="18"/>
              </w:rPr>
            </w:pPr>
          </w:p>
        </w:tc>
        <w:tc>
          <w:tcPr>
            <w:tcW w:w="5915" w:type="dxa"/>
            <w:vMerge/>
            <w:tcBorders>
              <w:top w:val="nil"/>
              <w:left w:val="nil"/>
              <w:bottom w:val="nil"/>
              <w:right w:val="nil"/>
            </w:tcBorders>
          </w:tcPr>
          <w:p w14:paraId="27E1D84E" w14:textId="77777777" w:rsidR="009D10B7" w:rsidRDefault="009D10B7" w:rsidP="004C2FE9">
            <w:pPr>
              <w:widowControl w:val="0"/>
              <w:pBdr>
                <w:top w:val="nil"/>
                <w:left w:val="nil"/>
                <w:bottom w:val="nil"/>
                <w:right w:val="nil"/>
                <w:between w:val="nil"/>
              </w:pBdr>
              <w:rPr>
                <w:rFonts w:ascii="Book Antiqua" w:eastAsia="Book Antiqua" w:hAnsi="Book Antiqua" w:cs="Book Antiqua"/>
                <w:i/>
                <w:sz w:val="18"/>
                <w:szCs w:val="18"/>
              </w:rPr>
            </w:pPr>
          </w:p>
        </w:tc>
      </w:tr>
      <w:tr w:rsidR="009D10B7" w14:paraId="445E6DD3" w14:textId="77777777" w:rsidTr="00F54C5E">
        <w:trPr>
          <w:trHeight w:val="135"/>
          <w:jc w:val="center"/>
        </w:trPr>
        <w:tc>
          <w:tcPr>
            <w:tcW w:w="895" w:type="dxa"/>
          </w:tcPr>
          <w:p w14:paraId="4C66DF78" w14:textId="77777777" w:rsidR="009D10B7" w:rsidRPr="00F54C5E" w:rsidRDefault="00000000" w:rsidP="004C2FE9">
            <w:pPr>
              <w:jc w:val="both"/>
              <w:rPr>
                <w:rFonts w:ascii="Book Antiqua" w:eastAsia="Book Antiqua" w:hAnsi="Book Antiqua" w:cs="Book Antiqua"/>
                <w:i/>
                <w:sz w:val="18"/>
                <w:szCs w:val="18"/>
              </w:rPr>
            </w:pPr>
            <w:r w:rsidRPr="00F54C5E">
              <w:rPr>
                <w:rFonts w:ascii="Book Antiqua" w:eastAsia="Book Antiqua" w:hAnsi="Book Antiqua" w:cs="Book Antiqua"/>
                <w:i/>
                <w:sz w:val="18"/>
                <w:szCs w:val="18"/>
              </w:rPr>
              <w:t>Revised</w:t>
            </w:r>
          </w:p>
        </w:tc>
        <w:tc>
          <w:tcPr>
            <w:tcW w:w="2263" w:type="dxa"/>
          </w:tcPr>
          <w:p w14:paraId="2197EA31" w14:textId="0DDC357C" w:rsidR="009D10B7" w:rsidRPr="00F54C5E" w:rsidRDefault="00000000" w:rsidP="004C2FE9">
            <w:pPr>
              <w:jc w:val="both"/>
              <w:rPr>
                <w:rFonts w:ascii="Book Antiqua" w:eastAsia="Book Antiqua" w:hAnsi="Book Antiqua" w:cs="Book Antiqua"/>
                <w:i/>
                <w:sz w:val="18"/>
                <w:szCs w:val="18"/>
              </w:rPr>
            </w:pPr>
            <w:r w:rsidRPr="00F54C5E">
              <w:rPr>
                <w:rFonts w:ascii="Book Antiqua" w:eastAsia="Book Antiqua" w:hAnsi="Book Antiqua" w:cs="Book Antiqua"/>
                <w:b/>
                <w:i/>
                <w:sz w:val="18"/>
                <w:szCs w:val="18"/>
              </w:rPr>
              <w:t xml:space="preserve">: </w:t>
            </w:r>
            <w:r w:rsidR="00F54C5E" w:rsidRPr="00F54C5E">
              <w:rPr>
                <w:rFonts w:ascii="Book Antiqua" w:eastAsia="Book Antiqua" w:hAnsi="Book Antiqua" w:cs="Book Antiqua"/>
                <w:i/>
                <w:sz w:val="18"/>
                <w:szCs w:val="18"/>
              </w:rPr>
              <w:t>1</w:t>
            </w:r>
            <w:r w:rsidR="00F54C5E">
              <w:rPr>
                <w:rFonts w:ascii="Book Antiqua" w:eastAsia="Book Antiqua" w:hAnsi="Book Antiqua" w:cs="Book Antiqua"/>
                <w:i/>
                <w:sz w:val="18"/>
                <w:szCs w:val="18"/>
              </w:rPr>
              <w:t>5</w:t>
            </w:r>
            <w:r w:rsidRPr="00F54C5E">
              <w:rPr>
                <w:rFonts w:ascii="Book Antiqua" w:eastAsia="Book Antiqua" w:hAnsi="Book Antiqua" w:cs="Book Antiqua"/>
                <w:i/>
                <w:sz w:val="18"/>
                <w:szCs w:val="18"/>
              </w:rPr>
              <w:t>/</w:t>
            </w:r>
            <w:r w:rsidR="00F54C5E">
              <w:rPr>
                <w:rFonts w:ascii="Book Antiqua" w:eastAsia="Book Antiqua" w:hAnsi="Book Antiqua" w:cs="Book Antiqua"/>
                <w:i/>
                <w:sz w:val="18"/>
                <w:szCs w:val="18"/>
              </w:rPr>
              <w:t>1</w:t>
            </w:r>
            <w:r w:rsidRPr="00F54C5E">
              <w:rPr>
                <w:rFonts w:ascii="Book Antiqua" w:eastAsia="Book Antiqua" w:hAnsi="Book Antiqua" w:cs="Book Antiqua"/>
                <w:i/>
                <w:sz w:val="18"/>
                <w:szCs w:val="18"/>
              </w:rPr>
              <w:t>0/</w:t>
            </w:r>
            <w:r w:rsidR="00F54C5E">
              <w:rPr>
                <w:rFonts w:ascii="Book Antiqua" w:eastAsia="Book Antiqua" w:hAnsi="Book Antiqua" w:cs="Book Antiqua"/>
                <w:i/>
                <w:sz w:val="18"/>
                <w:szCs w:val="18"/>
              </w:rPr>
              <w:t>2026</w:t>
            </w:r>
          </w:p>
        </w:tc>
        <w:tc>
          <w:tcPr>
            <w:tcW w:w="282" w:type="dxa"/>
            <w:vMerge/>
            <w:tcBorders>
              <w:right w:val="nil"/>
            </w:tcBorders>
          </w:tcPr>
          <w:p w14:paraId="5C002D58" w14:textId="77777777" w:rsidR="009D10B7" w:rsidRDefault="009D10B7" w:rsidP="004C2FE9">
            <w:pPr>
              <w:widowControl w:val="0"/>
              <w:pBdr>
                <w:top w:val="nil"/>
                <w:left w:val="nil"/>
                <w:bottom w:val="nil"/>
                <w:right w:val="nil"/>
                <w:between w:val="nil"/>
              </w:pBdr>
              <w:rPr>
                <w:rFonts w:ascii="Book Antiqua" w:eastAsia="Book Antiqua" w:hAnsi="Book Antiqua" w:cs="Book Antiqua"/>
                <w:i/>
                <w:sz w:val="18"/>
                <w:szCs w:val="18"/>
              </w:rPr>
            </w:pPr>
          </w:p>
        </w:tc>
        <w:tc>
          <w:tcPr>
            <w:tcW w:w="5915" w:type="dxa"/>
            <w:vMerge/>
            <w:tcBorders>
              <w:top w:val="nil"/>
              <w:left w:val="nil"/>
              <w:bottom w:val="nil"/>
              <w:right w:val="nil"/>
            </w:tcBorders>
          </w:tcPr>
          <w:p w14:paraId="0DD8771E" w14:textId="77777777" w:rsidR="009D10B7" w:rsidRDefault="009D10B7" w:rsidP="004C2FE9">
            <w:pPr>
              <w:widowControl w:val="0"/>
              <w:pBdr>
                <w:top w:val="nil"/>
                <w:left w:val="nil"/>
                <w:bottom w:val="nil"/>
                <w:right w:val="nil"/>
                <w:between w:val="nil"/>
              </w:pBdr>
              <w:rPr>
                <w:rFonts w:ascii="Book Antiqua" w:eastAsia="Book Antiqua" w:hAnsi="Book Antiqua" w:cs="Book Antiqua"/>
                <w:i/>
                <w:sz w:val="18"/>
                <w:szCs w:val="18"/>
              </w:rPr>
            </w:pPr>
          </w:p>
        </w:tc>
      </w:tr>
      <w:tr w:rsidR="009D10B7" w14:paraId="5905B235" w14:textId="77777777" w:rsidTr="00F54C5E">
        <w:trPr>
          <w:trHeight w:val="162"/>
          <w:jc w:val="center"/>
        </w:trPr>
        <w:tc>
          <w:tcPr>
            <w:tcW w:w="895" w:type="dxa"/>
            <w:tcBorders>
              <w:bottom w:val="single" w:sz="4" w:space="0" w:color="000000"/>
            </w:tcBorders>
          </w:tcPr>
          <w:p w14:paraId="75A80CC5" w14:textId="77777777" w:rsidR="009D10B7" w:rsidRPr="00F54C5E" w:rsidRDefault="00000000" w:rsidP="004C2FE9">
            <w:pPr>
              <w:jc w:val="both"/>
              <w:rPr>
                <w:rFonts w:ascii="Book Antiqua" w:eastAsia="Book Antiqua" w:hAnsi="Book Antiqua" w:cs="Book Antiqua"/>
                <w:i/>
                <w:sz w:val="18"/>
                <w:szCs w:val="18"/>
              </w:rPr>
            </w:pPr>
            <w:r w:rsidRPr="00F54C5E">
              <w:rPr>
                <w:rFonts w:ascii="Book Antiqua" w:eastAsia="Book Antiqua" w:hAnsi="Book Antiqua" w:cs="Book Antiqua"/>
                <w:i/>
                <w:sz w:val="18"/>
                <w:szCs w:val="18"/>
              </w:rPr>
              <w:t>Accepted</w:t>
            </w:r>
          </w:p>
        </w:tc>
        <w:tc>
          <w:tcPr>
            <w:tcW w:w="2263" w:type="dxa"/>
            <w:tcBorders>
              <w:bottom w:val="single" w:sz="4" w:space="0" w:color="000000"/>
            </w:tcBorders>
          </w:tcPr>
          <w:p w14:paraId="4AFEC898" w14:textId="5E5CD5B9" w:rsidR="009D10B7" w:rsidRPr="00F54C5E" w:rsidRDefault="00000000" w:rsidP="004C2FE9">
            <w:pPr>
              <w:jc w:val="both"/>
              <w:rPr>
                <w:rFonts w:ascii="Book Antiqua" w:eastAsia="Book Antiqua" w:hAnsi="Book Antiqua" w:cs="Book Antiqua"/>
                <w:b/>
                <w:i/>
                <w:sz w:val="18"/>
                <w:szCs w:val="18"/>
              </w:rPr>
            </w:pPr>
            <w:r w:rsidRPr="00F54C5E">
              <w:rPr>
                <w:rFonts w:ascii="Book Antiqua" w:eastAsia="Book Antiqua" w:hAnsi="Book Antiqua" w:cs="Book Antiqua"/>
                <w:b/>
                <w:i/>
                <w:sz w:val="18"/>
                <w:szCs w:val="18"/>
              </w:rPr>
              <w:t xml:space="preserve">: </w:t>
            </w:r>
            <w:r w:rsidR="00F54C5E">
              <w:rPr>
                <w:rFonts w:ascii="Book Antiqua" w:eastAsia="Book Antiqua" w:hAnsi="Book Antiqua" w:cs="Book Antiqua"/>
                <w:i/>
                <w:sz w:val="18"/>
                <w:szCs w:val="18"/>
              </w:rPr>
              <w:t>16</w:t>
            </w:r>
            <w:r w:rsidRPr="00F54C5E">
              <w:rPr>
                <w:rFonts w:ascii="Book Antiqua" w:eastAsia="Book Antiqua" w:hAnsi="Book Antiqua" w:cs="Book Antiqua"/>
                <w:i/>
                <w:sz w:val="18"/>
                <w:szCs w:val="18"/>
              </w:rPr>
              <w:t>/</w:t>
            </w:r>
            <w:r w:rsidR="00F54C5E">
              <w:rPr>
                <w:rFonts w:ascii="Book Antiqua" w:eastAsia="Book Antiqua" w:hAnsi="Book Antiqua" w:cs="Book Antiqua"/>
                <w:i/>
                <w:sz w:val="18"/>
                <w:szCs w:val="18"/>
              </w:rPr>
              <w:t>1</w:t>
            </w:r>
            <w:r w:rsidRPr="00F54C5E">
              <w:rPr>
                <w:rFonts w:ascii="Book Antiqua" w:eastAsia="Book Antiqua" w:hAnsi="Book Antiqua" w:cs="Book Antiqua"/>
                <w:i/>
                <w:sz w:val="18"/>
                <w:szCs w:val="18"/>
              </w:rPr>
              <w:t>0/</w:t>
            </w:r>
            <w:r w:rsidR="00F54C5E">
              <w:rPr>
                <w:rFonts w:ascii="Book Antiqua" w:eastAsia="Book Antiqua" w:hAnsi="Book Antiqua" w:cs="Book Antiqua"/>
                <w:i/>
                <w:sz w:val="18"/>
                <w:szCs w:val="18"/>
              </w:rPr>
              <w:t>2026</w:t>
            </w:r>
          </w:p>
        </w:tc>
        <w:tc>
          <w:tcPr>
            <w:tcW w:w="282" w:type="dxa"/>
            <w:vMerge/>
            <w:tcBorders>
              <w:right w:val="nil"/>
            </w:tcBorders>
          </w:tcPr>
          <w:p w14:paraId="2B623FC5" w14:textId="77777777" w:rsidR="009D10B7" w:rsidRDefault="009D10B7" w:rsidP="004C2FE9">
            <w:pPr>
              <w:widowControl w:val="0"/>
              <w:pBdr>
                <w:top w:val="nil"/>
                <w:left w:val="nil"/>
                <w:bottom w:val="nil"/>
                <w:right w:val="nil"/>
                <w:between w:val="nil"/>
              </w:pBdr>
              <w:rPr>
                <w:rFonts w:ascii="Book Antiqua" w:eastAsia="Book Antiqua" w:hAnsi="Book Antiqua" w:cs="Book Antiqua"/>
                <w:b/>
                <w:i/>
              </w:rPr>
            </w:pPr>
          </w:p>
        </w:tc>
        <w:tc>
          <w:tcPr>
            <w:tcW w:w="5915" w:type="dxa"/>
            <w:vMerge/>
            <w:tcBorders>
              <w:top w:val="nil"/>
              <w:left w:val="nil"/>
              <w:bottom w:val="nil"/>
              <w:right w:val="nil"/>
            </w:tcBorders>
          </w:tcPr>
          <w:p w14:paraId="73352628" w14:textId="77777777" w:rsidR="009D10B7" w:rsidRDefault="009D10B7" w:rsidP="004C2FE9">
            <w:pPr>
              <w:widowControl w:val="0"/>
              <w:pBdr>
                <w:top w:val="nil"/>
                <w:left w:val="nil"/>
                <w:bottom w:val="nil"/>
                <w:right w:val="nil"/>
                <w:between w:val="nil"/>
              </w:pBdr>
              <w:rPr>
                <w:rFonts w:ascii="Book Antiqua" w:eastAsia="Book Antiqua" w:hAnsi="Book Antiqua" w:cs="Book Antiqua"/>
                <w:b/>
                <w:i/>
              </w:rPr>
            </w:pPr>
          </w:p>
        </w:tc>
      </w:tr>
      <w:tr w:rsidR="009D10B7" w14:paraId="5717C169" w14:textId="77777777" w:rsidTr="00F54C5E">
        <w:trPr>
          <w:trHeight w:val="1965"/>
          <w:jc w:val="center"/>
        </w:trPr>
        <w:tc>
          <w:tcPr>
            <w:tcW w:w="3158" w:type="dxa"/>
            <w:gridSpan w:val="2"/>
            <w:tcBorders>
              <w:top w:val="single" w:sz="4" w:space="0" w:color="000000"/>
            </w:tcBorders>
          </w:tcPr>
          <w:p w14:paraId="4A9287D3" w14:textId="77777777" w:rsidR="009D10B7" w:rsidRDefault="00000000" w:rsidP="00F54C5E">
            <w:pPr>
              <w:spacing w:before="120"/>
              <w:jc w:val="both"/>
              <w:rPr>
                <w:rFonts w:ascii="Book Antiqua" w:eastAsia="Book Antiqua" w:hAnsi="Book Antiqua" w:cs="Book Antiqua"/>
                <w:b/>
                <w:i/>
              </w:rPr>
            </w:pPr>
            <w:r>
              <w:rPr>
                <w:rFonts w:ascii="Book Antiqua" w:eastAsia="Book Antiqua" w:hAnsi="Book Antiqua" w:cs="Book Antiqua"/>
                <w:b/>
                <w:i/>
              </w:rPr>
              <w:t>Keywords:</w:t>
            </w:r>
          </w:p>
          <w:p w14:paraId="72718B0E" w14:textId="13571014" w:rsidR="009D10B7" w:rsidRDefault="00D73388" w:rsidP="004C2FE9">
            <w:pPr>
              <w:jc w:val="both"/>
              <w:rPr>
                <w:rFonts w:ascii="Book Antiqua" w:eastAsia="Book Antiqua" w:hAnsi="Book Antiqua" w:cs="Book Antiqua"/>
                <w:i/>
                <w:sz w:val="18"/>
                <w:szCs w:val="18"/>
              </w:rPr>
            </w:pPr>
            <w:r w:rsidRPr="00BC5956">
              <w:rPr>
                <w:rFonts w:ascii="Book Antiqua" w:eastAsia="Book Antiqua" w:hAnsi="Book Antiqua" w:cs="Book Antiqua"/>
                <w:i/>
                <w:sz w:val="18"/>
                <w:szCs w:val="18"/>
              </w:rPr>
              <w:t>Islamic</w:t>
            </w:r>
            <w:r>
              <w:rPr>
                <w:rFonts w:ascii="Book Antiqua" w:eastAsia="Book Antiqua" w:hAnsi="Book Antiqua" w:cs="Book Antiqua"/>
                <w:i/>
                <w:sz w:val="18"/>
                <w:szCs w:val="18"/>
              </w:rPr>
              <w:t>;</w:t>
            </w:r>
            <w:r w:rsidRPr="00BC5956">
              <w:rPr>
                <w:rFonts w:ascii="Book Antiqua" w:eastAsia="Book Antiqua" w:hAnsi="Book Antiqua" w:cs="Book Antiqua"/>
                <w:i/>
                <w:sz w:val="18"/>
                <w:szCs w:val="18"/>
              </w:rPr>
              <w:t xml:space="preserve"> Circular Economy</w:t>
            </w:r>
            <w:r>
              <w:rPr>
                <w:rFonts w:ascii="Book Antiqua" w:eastAsia="Book Antiqua" w:hAnsi="Book Antiqua" w:cs="Book Antiqua"/>
                <w:i/>
                <w:sz w:val="18"/>
                <w:szCs w:val="18"/>
              </w:rPr>
              <w:t>;</w:t>
            </w:r>
            <w:r w:rsidRPr="00BC5956">
              <w:rPr>
                <w:rFonts w:ascii="Book Antiqua" w:eastAsia="Book Antiqua" w:hAnsi="Book Antiqua" w:cs="Book Antiqua"/>
                <w:i/>
                <w:sz w:val="18"/>
                <w:szCs w:val="18"/>
              </w:rPr>
              <w:t xml:space="preserve"> Sustainable Development</w:t>
            </w:r>
          </w:p>
        </w:tc>
        <w:tc>
          <w:tcPr>
            <w:tcW w:w="282" w:type="dxa"/>
            <w:vMerge/>
            <w:tcBorders>
              <w:right w:val="nil"/>
            </w:tcBorders>
          </w:tcPr>
          <w:p w14:paraId="08F09D63" w14:textId="77777777" w:rsidR="009D10B7" w:rsidRDefault="009D10B7" w:rsidP="004C2FE9">
            <w:pPr>
              <w:widowControl w:val="0"/>
              <w:pBdr>
                <w:top w:val="nil"/>
                <w:left w:val="nil"/>
                <w:bottom w:val="nil"/>
                <w:right w:val="nil"/>
                <w:between w:val="nil"/>
              </w:pBdr>
              <w:rPr>
                <w:rFonts w:ascii="Book Antiqua" w:eastAsia="Book Antiqua" w:hAnsi="Book Antiqua" w:cs="Book Antiqua"/>
                <w:i/>
                <w:sz w:val="18"/>
                <w:szCs w:val="18"/>
              </w:rPr>
            </w:pPr>
          </w:p>
        </w:tc>
        <w:tc>
          <w:tcPr>
            <w:tcW w:w="5915" w:type="dxa"/>
            <w:vMerge/>
            <w:tcBorders>
              <w:top w:val="nil"/>
              <w:left w:val="nil"/>
              <w:bottom w:val="nil"/>
              <w:right w:val="nil"/>
            </w:tcBorders>
          </w:tcPr>
          <w:p w14:paraId="11D297D7" w14:textId="77777777" w:rsidR="009D10B7" w:rsidRDefault="009D10B7" w:rsidP="004C2FE9">
            <w:pPr>
              <w:widowControl w:val="0"/>
              <w:pBdr>
                <w:top w:val="nil"/>
                <w:left w:val="nil"/>
                <w:bottom w:val="nil"/>
                <w:right w:val="nil"/>
                <w:between w:val="nil"/>
              </w:pBdr>
              <w:rPr>
                <w:rFonts w:ascii="Book Antiqua" w:eastAsia="Book Antiqua" w:hAnsi="Book Antiqua" w:cs="Book Antiqua"/>
                <w:i/>
                <w:sz w:val="18"/>
                <w:szCs w:val="18"/>
              </w:rPr>
            </w:pPr>
          </w:p>
        </w:tc>
      </w:tr>
      <w:tr w:rsidR="009D10B7" w14:paraId="3EEA3067" w14:textId="77777777" w:rsidTr="00F54C5E">
        <w:trPr>
          <w:trHeight w:val="440"/>
          <w:jc w:val="center"/>
        </w:trPr>
        <w:tc>
          <w:tcPr>
            <w:tcW w:w="3158" w:type="dxa"/>
            <w:gridSpan w:val="2"/>
          </w:tcPr>
          <w:p w14:paraId="4563BCB9" w14:textId="77777777" w:rsidR="009D10B7" w:rsidRDefault="00000000" w:rsidP="004C2FE9">
            <w:pPr>
              <w:jc w:val="both"/>
              <w:rPr>
                <w:rFonts w:ascii="Book Antiqua" w:eastAsia="Book Antiqua" w:hAnsi="Book Antiqua" w:cs="Book Antiqua"/>
                <w:b/>
                <w:i/>
              </w:rPr>
            </w:pPr>
            <w:r>
              <w:rPr>
                <w:rFonts w:ascii="Book Antiqua" w:eastAsia="Book Antiqua" w:hAnsi="Book Antiqua" w:cs="Book Antiqua"/>
                <w:b/>
                <w:i/>
              </w:rPr>
              <w:t>DOI:</w:t>
            </w:r>
          </w:p>
          <w:p w14:paraId="1E4BEE69" w14:textId="1A9FBEC6" w:rsidR="009D10B7" w:rsidRDefault="00C13444" w:rsidP="004C2FE9">
            <w:pPr>
              <w:jc w:val="both"/>
              <w:rPr>
                <w:rFonts w:ascii="Book Antiqua" w:eastAsia="Book Antiqua" w:hAnsi="Book Antiqua" w:cs="Book Antiqua"/>
                <w:b/>
                <w:i/>
              </w:rPr>
            </w:pPr>
            <w:r w:rsidRPr="00CA207B">
              <w:rPr>
                <w:rFonts w:ascii="Book Antiqua" w:hAnsi="Book Antiqua"/>
                <w:i/>
                <w:iCs/>
                <w:sz w:val="18"/>
                <w:szCs w:val="18"/>
              </w:rPr>
              <w:t>10.37366/jespb.v11i02.3</w:t>
            </w:r>
            <w:r w:rsidR="00FD079B">
              <w:rPr>
                <w:rFonts w:ascii="Book Antiqua" w:hAnsi="Book Antiqua"/>
                <w:i/>
                <w:iCs/>
                <w:sz w:val="18"/>
                <w:szCs w:val="18"/>
              </w:rPr>
              <w:t>445</w:t>
            </w:r>
          </w:p>
        </w:tc>
        <w:tc>
          <w:tcPr>
            <w:tcW w:w="282" w:type="dxa"/>
            <w:tcBorders>
              <w:right w:val="nil"/>
            </w:tcBorders>
          </w:tcPr>
          <w:p w14:paraId="6205E685" w14:textId="77777777" w:rsidR="009D10B7" w:rsidRDefault="009D10B7" w:rsidP="004C2FE9">
            <w:pPr>
              <w:jc w:val="both"/>
              <w:rPr>
                <w:rFonts w:ascii="Book Antiqua" w:eastAsia="Book Antiqua" w:hAnsi="Book Antiqua" w:cs="Book Antiqua"/>
              </w:rPr>
            </w:pPr>
          </w:p>
        </w:tc>
        <w:tc>
          <w:tcPr>
            <w:tcW w:w="5915" w:type="dxa"/>
            <w:vMerge/>
            <w:tcBorders>
              <w:top w:val="nil"/>
              <w:left w:val="nil"/>
              <w:bottom w:val="nil"/>
              <w:right w:val="nil"/>
            </w:tcBorders>
          </w:tcPr>
          <w:p w14:paraId="176954E2" w14:textId="77777777" w:rsidR="009D10B7" w:rsidRDefault="009D10B7" w:rsidP="004C2FE9">
            <w:pPr>
              <w:widowControl w:val="0"/>
              <w:pBdr>
                <w:top w:val="nil"/>
                <w:left w:val="nil"/>
                <w:bottom w:val="nil"/>
                <w:right w:val="nil"/>
                <w:between w:val="nil"/>
              </w:pBdr>
              <w:rPr>
                <w:rFonts w:ascii="Book Antiqua" w:eastAsia="Book Antiqua" w:hAnsi="Book Antiqua" w:cs="Book Antiqua"/>
              </w:rPr>
            </w:pPr>
          </w:p>
        </w:tc>
      </w:tr>
      <w:tr w:rsidR="009D10B7" w14:paraId="01842F88" w14:textId="77777777">
        <w:trPr>
          <w:trHeight w:val="953"/>
          <w:jc w:val="center"/>
        </w:trPr>
        <w:tc>
          <w:tcPr>
            <w:tcW w:w="9355" w:type="dxa"/>
            <w:gridSpan w:val="4"/>
            <w:tcBorders>
              <w:bottom w:val="single" w:sz="4" w:space="0" w:color="000000"/>
            </w:tcBorders>
          </w:tcPr>
          <w:p w14:paraId="394FB224" w14:textId="77777777" w:rsidR="009D10B7" w:rsidRDefault="00000000" w:rsidP="004C2FE9">
            <w:pPr>
              <w:rPr>
                <w:rFonts w:ascii="Book Antiqua" w:eastAsia="Book Antiqua" w:hAnsi="Book Antiqua" w:cs="Book Antiqua"/>
                <w:b/>
                <w:i/>
              </w:rPr>
            </w:pPr>
            <w:r>
              <w:rPr>
                <w:rFonts w:ascii="Book Antiqua" w:eastAsia="Book Antiqua" w:hAnsi="Book Antiqua" w:cs="Book Antiqua"/>
                <w:b/>
                <w:i/>
              </w:rPr>
              <w:t>Corresponding Author:</w:t>
            </w:r>
          </w:p>
          <w:p w14:paraId="5AFDB71F" w14:textId="77777777" w:rsidR="003D6A8C" w:rsidRPr="003D6A8C" w:rsidRDefault="003D6A8C" w:rsidP="003D6A8C">
            <w:pPr>
              <w:rPr>
                <w:rFonts w:ascii="Book Antiqua" w:eastAsia="Book Antiqua" w:hAnsi="Book Antiqua" w:cs="Book Antiqua"/>
                <w:i/>
                <w:iCs/>
                <w:sz w:val="18"/>
                <w:szCs w:val="18"/>
              </w:rPr>
            </w:pPr>
            <w:r w:rsidRPr="003D6A8C">
              <w:rPr>
                <w:rFonts w:ascii="Book Antiqua" w:eastAsia="Book Antiqua" w:hAnsi="Book Antiqua" w:cs="Book Antiqua"/>
                <w:i/>
                <w:iCs/>
                <w:sz w:val="18"/>
                <w:szCs w:val="18"/>
              </w:rPr>
              <w:t>Nur Nugrahani Setiawati</w:t>
            </w:r>
          </w:p>
          <w:p w14:paraId="3634EC5D" w14:textId="77777777" w:rsidR="003D6A8C" w:rsidRDefault="003D6A8C" w:rsidP="003D6A8C">
            <w:pPr>
              <w:rPr>
                <w:rFonts w:ascii="Book Antiqua" w:eastAsia="Book Antiqua" w:hAnsi="Book Antiqua" w:cs="Book Antiqua"/>
                <w:i/>
                <w:iCs/>
                <w:sz w:val="18"/>
                <w:szCs w:val="18"/>
              </w:rPr>
            </w:pPr>
            <w:r w:rsidRPr="003D6A8C">
              <w:rPr>
                <w:rFonts w:ascii="Book Antiqua" w:eastAsia="Book Antiqua" w:hAnsi="Book Antiqua" w:cs="Book Antiqua"/>
                <w:i/>
                <w:iCs/>
                <w:sz w:val="18"/>
                <w:szCs w:val="18"/>
              </w:rPr>
              <w:t>Islamic Economics Postgraduate Program Universitas Islam Negeri Maulana Malik Ibrahim, Malang, Indonesia</w:t>
            </w:r>
          </w:p>
          <w:p w14:paraId="4D8BA6A0" w14:textId="27CB1D6F" w:rsidR="009D10B7" w:rsidRDefault="003D6A8C" w:rsidP="003D6A8C">
            <w:pPr>
              <w:rPr>
                <w:rFonts w:ascii="Book Antiqua" w:eastAsia="Book Antiqua" w:hAnsi="Book Antiqua" w:cs="Book Antiqua"/>
                <w:color w:val="000000"/>
                <w:sz w:val="18"/>
                <w:szCs w:val="18"/>
              </w:rPr>
            </w:pPr>
            <w:r w:rsidRPr="003D6A8C">
              <w:rPr>
                <w:rFonts w:ascii="Book Antiqua" w:eastAsia="Book Antiqua" w:hAnsi="Book Antiqua" w:cs="Book Antiqua"/>
                <w:i/>
                <w:iCs/>
                <w:sz w:val="18"/>
                <w:szCs w:val="18"/>
              </w:rPr>
              <w:t>Email: nurnugrahani77@gmail.com</w:t>
            </w:r>
            <w:r w:rsidR="00BF239E">
              <w:rPr>
                <w:rFonts w:ascii="Book Antiqua" w:eastAsia="Book Antiqua" w:hAnsi="Book Antiqua" w:cs="Book Antiqua"/>
                <w:sz w:val="18"/>
                <w:szCs w:val="18"/>
              </w:rPr>
              <w:t xml:space="preserve"> </w:t>
            </w:r>
          </w:p>
        </w:tc>
      </w:tr>
    </w:tbl>
    <w:p w14:paraId="47201AFF" w14:textId="77777777" w:rsidR="009D10B7" w:rsidRDefault="009D10B7" w:rsidP="00DA6F03">
      <w:pPr>
        <w:spacing w:line="276" w:lineRule="auto"/>
        <w:rPr>
          <w:rFonts w:ascii="Book Antiqua" w:eastAsia="Book Antiqua" w:hAnsi="Book Antiqua" w:cs="Book Antiqua"/>
          <w:sz w:val="18"/>
          <w:szCs w:val="18"/>
        </w:rPr>
      </w:pPr>
    </w:p>
    <w:p w14:paraId="69085305" w14:textId="6154B26D" w:rsidR="00BF239E" w:rsidRPr="00DA6F03" w:rsidRDefault="00000000" w:rsidP="009635F0">
      <w:pPr>
        <w:pStyle w:val="ListParagraph"/>
        <w:numPr>
          <w:ilvl w:val="0"/>
          <w:numId w:val="4"/>
        </w:numPr>
        <w:spacing w:after="0"/>
        <w:contextualSpacing w:val="0"/>
        <w:rPr>
          <w:rFonts w:ascii="Book Antiqua" w:eastAsia="Book Antiqua" w:hAnsi="Book Antiqua" w:cs="Book Antiqua"/>
          <w:b/>
          <w:sz w:val="20"/>
          <w:szCs w:val="20"/>
        </w:rPr>
      </w:pPr>
      <w:r w:rsidRPr="00DA6F03">
        <w:rPr>
          <w:rFonts w:ascii="Book Antiqua" w:eastAsia="Book Antiqua" w:hAnsi="Book Antiqua" w:cs="Book Antiqua"/>
          <w:b/>
          <w:sz w:val="20"/>
          <w:szCs w:val="20"/>
        </w:rPr>
        <w:t xml:space="preserve">INTRODUCTION </w:t>
      </w:r>
    </w:p>
    <w:p w14:paraId="1D9342F7" w14:textId="77777777" w:rsidR="00B93166" w:rsidRPr="00B93166" w:rsidRDefault="00B93166" w:rsidP="00B93166">
      <w:pPr>
        <w:widowControl w:val="0"/>
        <w:spacing w:line="276" w:lineRule="auto"/>
        <w:ind w:firstLine="360"/>
        <w:jc w:val="both"/>
        <w:rPr>
          <w:rFonts w:ascii="Book Antiqua" w:eastAsia="Book Antiqua" w:hAnsi="Book Antiqua" w:cs="Book Antiqua"/>
        </w:rPr>
      </w:pPr>
      <w:r w:rsidRPr="00B93166">
        <w:rPr>
          <w:rFonts w:ascii="Book Antiqua" w:eastAsia="Book Antiqua" w:hAnsi="Book Antiqua" w:cs="Book Antiqua"/>
        </w:rPr>
        <w:t xml:space="preserve">The escalating crises of climate change, biodiversity degradation, resource scarcity, and waste accumulation have exposed the limitations of the prevailing linear economic model and reinforced the urgency of developing more holistic approaches to sustainable development (Choudhry et al., 2026; Montefalcone et al., 2025). In response, the Circular Economy (CE) has gained global recognition as a strategic framework that enhances resource efficiency, minimizes waste, and promotes regenerative production systems (Gennari, 2023; Ijimdiya et al., 2026; Rahla et al., 2021). Nevertheless, the dominant CE literature remains largely grounded in economic, industrial, and technological paradigms, offering limited </w:t>
      </w:r>
      <w:r w:rsidRPr="00B93166">
        <w:rPr>
          <w:rFonts w:ascii="Book Antiqua" w:eastAsia="Book Antiqua" w:hAnsi="Book Antiqua" w:cs="Book Antiqua"/>
        </w:rPr>
        <w:lastRenderedPageBreak/>
        <w:t>consideration of the ethical and spiritual values that shape human behaviour and determine the long-term sustainability of economic systems (Dziubaniuk &amp; Aarikka-Stenroos, 2025; Ghobakhloo et al., 2025; Rahma et al., 2025). This gap creates an important opportunity to advance the Islamic Circular Economy (ICE) as a value-based framework rooted in Islamic epistemology.</w:t>
      </w:r>
    </w:p>
    <w:p w14:paraId="357CB1F5" w14:textId="77777777" w:rsidR="00B93166" w:rsidRPr="00B93166" w:rsidRDefault="00B93166" w:rsidP="00B93166">
      <w:pPr>
        <w:widowControl w:val="0"/>
        <w:spacing w:line="276" w:lineRule="auto"/>
        <w:ind w:firstLine="360"/>
        <w:jc w:val="both"/>
        <w:rPr>
          <w:rFonts w:ascii="Book Antiqua" w:eastAsia="Book Antiqua" w:hAnsi="Book Antiqua" w:cs="Book Antiqua"/>
        </w:rPr>
      </w:pPr>
      <w:r w:rsidRPr="00B93166">
        <w:rPr>
          <w:rFonts w:ascii="Book Antiqua" w:eastAsia="Book Antiqua" w:hAnsi="Book Antiqua" w:cs="Book Antiqua"/>
        </w:rPr>
        <w:t>Despite the growing body of research on ICE, existing studies primarily interpret it as an Islamic adaptation of the conventional CE through the lenses of maqā</w:t>
      </w:r>
      <w:r w:rsidRPr="00B93166">
        <w:rPr>
          <w:rFonts w:ascii="Cambria" w:eastAsia="Book Antiqua" w:hAnsi="Cambria" w:cs="Cambria"/>
        </w:rPr>
        <w:t>ṣ</w:t>
      </w:r>
      <w:r w:rsidRPr="00B93166">
        <w:rPr>
          <w:rFonts w:ascii="Book Antiqua" w:eastAsia="Book Antiqua" w:hAnsi="Book Antiqua" w:cs="Book Antiqua"/>
        </w:rPr>
        <w:t>id al-sharī</w:t>
      </w:r>
      <w:r w:rsidRPr="00B93166">
        <w:rPr>
          <w:rFonts w:eastAsia="Book Antiqua"/>
        </w:rPr>
        <w:t>ʿ</w:t>
      </w:r>
      <w:r w:rsidRPr="00B93166">
        <w:rPr>
          <w:rFonts w:ascii="Book Antiqua" w:eastAsia="Book Antiqua" w:hAnsi="Book Antiqua" w:cs="Book Antiqua"/>
        </w:rPr>
        <w:t>ah, Islamic economics, and Islamic finance (Lestari et al., 2024; Fathma et al., 2025; Yusuf, 2021; Javaid, 2022).  Consequently, ICE has not yet been sufficiently established as an autonomous theoretical construct derived directly from the primary sources of Islam. Furthermore, prior studies have predominantly relied on literature reviews and normative discussions, while the systematic reconstruction of ICE from the Qur'an and Hadith remains largely unexplored.</w:t>
      </w:r>
    </w:p>
    <w:p w14:paraId="0BC3CEA3" w14:textId="77777777" w:rsidR="00B93166" w:rsidRPr="00B93166" w:rsidRDefault="00B93166" w:rsidP="00B93166">
      <w:pPr>
        <w:widowControl w:val="0"/>
        <w:spacing w:line="276" w:lineRule="auto"/>
        <w:ind w:firstLine="360"/>
        <w:jc w:val="both"/>
        <w:rPr>
          <w:rFonts w:ascii="Book Antiqua" w:eastAsia="Book Antiqua" w:hAnsi="Book Antiqua" w:cs="Book Antiqua"/>
        </w:rPr>
      </w:pPr>
      <w:r w:rsidRPr="00B93166">
        <w:rPr>
          <w:rFonts w:ascii="Book Antiqua" w:eastAsia="Book Antiqua" w:hAnsi="Book Antiqua" w:cs="Book Antiqua"/>
        </w:rPr>
        <w:t>The Qur'an and Hadith articulate comprehensive principles of environmental stewardship, responsible resource management, ecological balance, social justice, and human accountability as khalīfah. These teachings provide a coherent normative foundation for developing ICE as a distinctive paradigm of sustainable development. Building upon these foundations, this study develops a conceptual framework grounded directly in the Qur'an and Hadith, positioning taw</w:t>
      </w:r>
      <w:r w:rsidRPr="00B93166">
        <w:rPr>
          <w:rFonts w:ascii="Cambria" w:eastAsia="Book Antiqua" w:hAnsi="Cambria" w:cs="Cambria"/>
        </w:rPr>
        <w:t>ḥ</w:t>
      </w:r>
      <w:r w:rsidRPr="00B93166">
        <w:rPr>
          <w:rFonts w:ascii="Book Antiqua" w:eastAsia="Book Antiqua" w:hAnsi="Book Antiqua" w:cs="Book Antiqua"/>
        </w:rPr>
        <w:t xml:space="preserve">īd, khalīfah, amānah, mīzān, </w:t>
      </w:r>
      <w:r w:rsidRPr="00B93166">
        <w:rPr>
          <w:rFonts w:eastAsia="Book Antiqua"/>
        </w:rPr>
        <w:t>ʿ</w:t>
      </w:r>
      <w:r w:rsidRPr="00B93166">
        <w:rPr>
          <w:rFonts w:ascii="Book Antiqua" w:eastAsia="Book Antiqua" w:hAnsi="Book Antiqua" w:cs="Book Antiqua"/>
        </w:rPr>
        <w:t>adl, ma</w:t>
      </w:r>
      <w:r w:rsidRPr="00B93166">
        <w:rPr>
          <w:rFonts w:ascii="Cambria" w:eastAsia="Book Antiqua" w:hAnsi="Cambria" w:cs="Cambria"/>
        </w:rPr>
        <w:t>ṣ</w:t>
      </w:r>
      <w:r w:rsidRPr="00B93166">
        <w:rPr>
          <w:rFonts w:ascii="Book Antiqua" w:eastAsia="Book Antiqua" w:hAnsi="Book Antiqua" w:cs="Book Antiqua"/>
        </w:rPr>
        <w:t>la</w:t>
      </w:r>
      <w:r w:rsidRPr="00B93166">
        <w:rPr>
          <w:rFonts w:ascii="Cambria" w:eastAsia="Book Antiqua" w:hAnsi="Cambria" w:cs="Cambria"/>
        </w:rPr>
        <w:t>ḥ</w:t>
      </w:r>
      <w:r w:rsidRPr="00B93166">
        <w:rPr>
          <w:rFonts w:ascii="Book Antiqua" w:eastAsia="Book Antiqua" w:hAnsi="Book Antiqua" w:cs="Book Antiqua"/>
        </w:rPr>
        <w:t>ah, and the prohibition of isrāf as the core principles governing sustainable economic activities.</w:t>
      </w:r>
    </w:p>
    <w:p w14:paraId="42EB3753" w14:textId="71DAF364" w:rsidR="004C2FE9" w:rsidRPr="00DA6F03" w:rsidRDefault="00B93166" w:rsidP="00B93166">
      <w:pPr>
        <w:spacing w:after="120" w:line="276" w:lineRule="auto"/>
        <w:ind w:firstLine="360"/>
        <w:jc w:val="both"/>
        <w:rPr>
          <w:rFonts w:ascii="Book Antiqua" w:hAnsi="Book Antiqua"/>
        </w:rPr>
      </w:pPr>
      <w:r w:rsidRPr="00B93166">
        <w:rPr>
          <w:rFonts w:ascii="Book Antiqua" w:eastAsia="Book Antiqua" w:hAnsi="Book Antiqua" w:cs="Book Antiqua"/>
        </w:rPr>
        <w:t>The principal contribution of this study is the formulation of an integrated conceptual framework that reconceptualizes Circular Economy through Islamic ethical and theological perspectives. By extending CE beyond material resource circulation to encompass moral governance, behavioural transformation, social responsibility, and intergenerational welfare, the proposed framework enriches both Circular Economy theory and Islamic economic thought. It also provides a robust theoretical foundation for future empirical research and offers strategic guidance for policymakers in designing Shariah-based sustainable development policies that integrate environmental sustainability with Islamic ethical values.</w:t>
      </w:r>
    </w:p>
    <w:p w14:paraId="00A08CB7" w14:textId="17D40383" w:rsidR="001A7071" w:rsidRPr="00DA6F03" w:rsidRDefault="00000000" w:rsidP="009635F0">
      <w:pPr>
        <w:pStyle w:val="ListParagraph"/>
        <w:numPr>
          <w:ilvl w:val="0"/>
          <w:numId w:val="4"/>
        </w:numPr>
        <w:spacing w:after="0"/>
        <w:contextualSpacing w:val="0"/>
        <w:rPr>
          <w:rFonts w:ascii="Book Antiqua" w:eastAsia="Book Antiqua" w:hAnsi="Book Antiqua" w:cs="Book Antiqua"/>
          <w:b/>
          <w:sz w:val="20"/>
          <w:szCs w:val="20"/>
        </w:rPr>
      </w:pPr>
      <w:r w:rsidRPr="00DA6F03">
        <w:rPr>
          <w:rFonts w:ascii="Book Antiqua" w:eastAsia="Book Antiqua" w:hAnsi="Book Antiqua" w:cs="Book Antiqua"/>
          <w:b/>
          <w:smallCaps/>
          <w:sz w:val="20"/>
          <w:szCs w:val="20"/>
        </w:rPr>
        <w:t>THEORETICAL FRAMEWORK</w:t>
      </w:r>
    </w:p>
    <w:p w14:paraId="18FC7DB1" w14:textId="21AF6E37" w:rsidR="00B93166" w:rsidRPr="00B93166" w:rsidRDefault="00B93166" w:rsidP="00B93166">
      <w:pPr>
        <w:pStyle w:val="ListParagraph"/>
        <w:spacing w:after="0"/>
        <w:ind w:left="0"/>
        <w:contextualSpacing w:val="0"/>
        <w:rPr>
          <w:rFonts w:ascii="Book Antiqua" w:eastAsia="Book Antiqua" w:hAnsi="Book Antiqua" w:cs="Book Antiqua"/>
          <w:b/>
          <w:sz w:val="20"/>
          <w:szCs w:val="20"/>
        </w:rPr>
      </w:pPr>
      <w:r w:rsidRPr="00B93166">
        <w:rPr>
          <w:rFonts w:ascii="Book Antiqua" w:eastAsia="Book Antiqua" w:hAnsi="Book Antiqua" w:cs="Book Antiqua"/>
          <w:b/>
          <w:bCs/>
          <w:sz w:val="20"/>
          <w:szCs w:val="20"/>
        </w:rPr>
        <w:t>Transformative Framework Based on the Qur'an and Hadith</w:t>
      </w:r>
    </w:p>
    <w:p w14:paraId="296EA6E6" w14:textId="77777777" w:rsidR="00B93166" w:rsidRPr="004A3106" w:rsidRDefault="00B93166" w:rsidP="00B93166">
      <w:pPr>
        <w:widowControl w:val="0"/>
        <w:spacing w:line="276" w:lineRule="auto"/>
        <w:ind w:firstLine="360"/>
        <w:jc w:val="both"/>
        <w:rPr>
          <w:rFonts w:ascii="Book Antiqua" w:eastAsia="Book Antiqua" w:hAnsi="Book Antiqua" w:cs="Book Antiqua"/>
        </w:rPr>
      </w:pPr>
      <w:r w:rsidRPr="004A3106">
        <w:rPr>
          <w:rFonts w:ascii="Book Antiqua" w:eastAsia="Book Antiqua" w:hAnsi="Book Antiqua" w:cs="Book Antiqua"/>
        </w:rPr>
        <w:t>The Qur'an and the Sunnah provide the primary normative foundation for Islamic perspectives on sustainable development by establishing ethical principles that govern the relationship between humans, society, and the natural environment. Unlike conventional development paradigms that primarily emphasize economic growth, Islam promotes a holistic approach in which economic activities are inseparable from spiritual accountability, social justice, and environmental stewardship (Chapra, 2016; Kamali, 2019). Sustainable development is therefore directed toward the realization of ma</w:t>
      </w:r>
      <w:r w:rsidRPr="004A3106">
        <w:rPr>
          <w:rFonts w:ascii="Cambria" w:eastAsia="Book Antiqua" w:hAnsi="Cambria" w:cs="Cambria"/>
        </w:rPr>
        <w:t>ṣ</w:t>
      </w:r>
      <w:r w:rsidRPr="004A3106">
        <w:rPr>
          <w:rFonts w:ascii="Book Antiqua" w:eastAsia="Book Antiqua" w:hAnsi="Book Antiqua" w:cs="Book Antiqua"/>
        </w:rPr>
        <w:t>la</w:t>
      </w:r>
      <w:r w:rsidRPr="004A3106">
        <w:rPr>
          <w:rFonts w:ascii="Cambria" w:eastAsia="Book Antiqua" w:hAnsi="Cambria" w:cs="Cambria"/>
        </w:rPr>
        <w:t>ḥ</w:t>
      </w:r>
      <w:r w:rsidRPr="004A3106">
        <w:rPr>
          <w:rFonts w:ascii="Book Antiqua" w:eastAsia="Book Antiqua" w:hAnsi="Book Antiqua" w:cs="Book Antiqua"/>
        </w:rPr>
        <w:t>ah (public welfare) while preserving ecological integrity for future generations.</w:t>
      </w:r>
    </w:p>
    <w:p w14:paraId="150596DB" w14:textId="77777777" w:rsidR="00B93166" w:rsidRPr="004A3106" w:rsidRDefault="00B93166" w:rsidP="00B93166">
      <w:pPr>
        <w:widowControl w:val="0"/>
        <w:spacing w:line="276" w:lineRule="auto"/>
        <w:ind w:firstLine="360"/>
        <w:jc w:val="both"/>
        <w:rPr>
          <w:rFonts w:ascii="Book Antiqua" w:eastAsia="Book Antiqua" w:hAnsi="Book Antiqua" w:cs="Book Antiqua"/>
        </w:rPr>
      </w:pPr>
      <w:r w:rsidRPr="004A3106">
        <w:rPr>
          <w:rFonts w:ascii="Book Antiqua" w:eastAsia="Book Antiqua" w:hAnsi="Book Antiqua" w:cs="Book Antiqua"/>
        </w:rPr>
        <w:t>This perspective is rooted in the Qur'anic concept of humans as khalīfah (vicegerents) entrusted with the responsibility to manage natural resources responsibly (Qur'an 2:30). Environmental governance is further guided by the principles of mīzān (balance) (Qur'an 55:7–9) and the prohibition of fasād (environmental destruction) (Qur'an 7:56), emphasizing that resource utilization must maintain ecological equilibrium rather than maximize short-term economic gains (Nasr, 2015; Hassan, 2021).</w:t>
      </w:r>
    </w:p>
    <w:p w14:paraId="1279061C" w14:textId="77777777" w:rsidR="00B93166" w:rsidRPr="004A3106" w:rsidRDefault="00B93166" w:rsidP="00B93166">
      <w:pPr>
        <w:widowControl w:val="0"/>
        <w:spacing w:line="276" w:lineRule="auto"/>
        <w:ind w:firstLine="360"/>
        <w:jc w:val="both"/>
        <w:rPr>
          <w:rFonts w:ascii="Book Antiqua" w:eastAsia="Book Antiqua" w:hAnsi="Book Antiqua" w:cs="Book Antiqua"/>
        </w:rPr>
      </w:pPr>
      <w:r w:rsidRPr="004A3106">
        <w:rPr>
          <w:rFonts w:ascii="Book Antiqua" w:eastAsia="Book Antiqua" w:hAnsi="Book Antiqua" w:cs="Book Antiqua"/>
        </w:rPr>
        <w:t>These principles are reinforced by the Sunnah through practical guidance on environmental ethics. Prophetic traditions encourage tree planting as a continuous charitable act and prohibit excessive water consumption even when resources are abundant, illustrating the Islamic values of conservation and moderation. Consequently, sustainability in Islam extends beyond ecological concerns by integrating spiritual responsibility and ethical behaviour into resource management.</w:t>
      </w:r>
    </w:p>
    <w:p w14:paraId="47EC1CA4" w14:textId="77777777" w:rsidR="00B93166" w:rsidRDefault="00B93166" w:rsidP="00B93166">
      <w:pPr>
        <w:widowControl w:val="0"/>
        <w:spacing w:after="120" w:line="276" w:lineRule="auto"/>
        <w:ind w:firstLine="360"/>
        <w:jc w:val="both"/>
        <w:rPr>
          <w:rFonts w:ascii="Book Antiqua" w:eastAsia="Book Antiqua" w:hAnsi="Book Antiqua" w:cs="Book Antiqua"/>
        </w:rPr>
      </w:pPr>
      <w:r w:rsidRPr="004A3106">
        <w:rPr>
          <w:rFonts w:ascii="Book Antiqua" w:eastAsia="Book Antiqua" w:hAnsi="Book Antiqua" w:cs="Book Antiqua"/>
        </w:rPr>
        <w:t xml:space="preserve">Collectively, the Qur'an and the Sunnah establish a transformative framework based on stewardship </w:t>
      </w:r>
      <w:r w:rsidRPr="004A3106">
        <w:rPr>
          <w:rFonts w:ascii="Book Antiqua" w:eastAsia="Book Antiqua" w:hAnsi="Book Antiqua" w:cs="Book Antiqua"/>
        </w:rPr>
        <w:lastRenderedPageBreak/>
        <w:t>(khalīfah), trust (amānah), balance (mīzān), moderation, and environmental responsibility. These values provide a faith-based foundation for sustainable resource governance and offer an ethical framework that complements contemporary sustainability and circular economy theories by incorporating moral accountability into economic decision-making (Geissdoerfer et al., 2017; Chapra, 2016).</w:t>
      </w:r>
    </w:p>
    <w:p w14:paraId="48138975" w14:textId="47421D8A" w:rsidR="00B93166" w:rsidRPr="00702266" w:rsidRDefault="00B93166" w:rsidP="00B93166">
      <w:pPr>
        <w:widowControl w:val="0"/>
        <w:spacing w:line="276" w:lineRule="auto"/>
        <w:jc w:val="both"/>
        <w:rPr>
          <w:rFonts w:ascii="Book Antiqua" w:eastAsia="Book Antiqua" w:hAnsi="Book Antiqua" w:cs="Book Antiqua"/>
          <w:b/>
          <w:bCs/>
        </w:rPr>
      </w:pPr>
      <w:r w:rsidRPr="00702266">
        <w:rPr>
          <w:rFonts w:ascii="Book Antiqua" w:eastAsia="Book Antiqua" w:hAnsi="Book Antiqua" w:cs="Book Antiqua"/>
          <w:b/>
          <w:bCs/>
        </w:rPr>
        <w:t>Islamic Circular Economy</w:t>
      </w:r>
    </w:p>
    <w:p w14:paraId="308D2B17" w14:textId="77777777" w:rsidR="00B93166" w:rsidRPr="00702266" w:rsidRDefault="00B93166" w:rsidP="00B93166">
      <w:pPr>
        <w:widowControl w:val="0"/>
        <w:spacing w:line="276" w:lineRule="auto"/>
        <w:ind w:firstLine="360"/>
        <w:jc w:val="both"/>
        <w:rPr>
          <w:rFonts w:ascii="Book Antiqua" w:eastAsia="Book Antiqua" w:hAnsi="Book Antiqua" w:cs="Book Antiqua"/>
        </w:rPr>
      </w:pPr>
      <w:r w:rsidRPr="00702266">
        <w:rPr>
          <w:rFonts w:ascii="Book Antiqua" w:eastAsia="Book Antiqua" w:hAnsi="Book Antiqua" w:cs="Book Antiqua"/>
        </w:rPr>
        <w:t>Islamic Circular Economy (ICE) extends the conventional Circular Economy (CE) by embedding circular resource management within the normative framework of Islamic economics. While CE emphasizes resource efficiency, waste minimization, and closed-loop production systems, ICE reconceptualizes these practices through the ethical principles of taw</w:t>
      </w:r>
      <w:r w:rsidRPr="00702266">
        <w:rPr>
          <w:rFonts w:ascii="Cambria" w:eastAsia="Book Antiqua" w:hAnsi="Cambria" w:cs="Cambria"/>
        </w:rPr>
        <w:t>ḥ</w:t>
      </w:r>
      <w:r w:rsidRPr="00702266">
        <w:rPr>
          <w:rFonts w:ascii="Book Antiqua" w:eastAsia="Book Antiqua" w:hAnsi="Book Antiqua" w:cs="Book Antiqua"/>
        </w:rPr>
        <w:t xml:space="preserve">īd, amānah, </w:t>
      </w:r>
      <w:r w:rsidRPr="00702266">
        <w:rPr>
          <w:rFonts w:eastAsia="Book Antiqua"/>
        </w:rPr>
        <w:t>ʿ</w:t>
      </w:r>
      <w:r w:rsidRPr="00702266">
        <w:rPr>
          <w:rFonts w:ascii="Book Antiqua" w:eastAsia="Book Antiqua" w:hAnsi="Book Antiqua" w:cs="Book Antiqua"/>
        </w:rPr>
        <w:t>adl, mīzān, and ma</w:t>
      </w:r>
      <w:r w:rsidRPr="00702266">
        <w:rPr>
          <w:rFonts w:ascii="Cambria" w:eastAsia="Book Antiqua" w:hAnsi="Cambria" w:cs="Cambria"/>
        </w:rPr>
        <w:t>ṣ</w:t>
      </w:r>
      <w:r w:rsidRPr="00702266">
        <w:rPr>
          <w:rFonts w:ascii="Book Antiqua" w:eastAsia="Book Antiqua" w:hAnsi="Book Antiqua" w:cs="Book Antiqua"/>
        </w:rPr>
        <w:t>la</w:t>
      </w:r>
      <w:r w:rsidRPr="00702266">
        <w:rPr>
          <w:rFonts w:ascii="Cambria" w:eastAsia="Book Antiqua" w:hAnsi="Cambria" w:cs="Cambria"/>
        </w:rPr>
        <w:t>ḥ</w:t>
      </w:r>
      <w:r w:rsidRPr="00702266">
        <w:rPr>
          <w:rFonts w:ascii="Book Antiqua" w:eastAsia="Book Antiqua" w:hAnsi="Book Antiqua" w:cs="Book Antiqua"/>
        </w:rPr>
        <w:t>ah, thereby integrating environmental stewardship with moral responsibility (Geissdoerfer et al., 2017; Kirchherr et al., 2017; Chapra, 2016). From this perspective, natural resources are viewed as a divine trust, and humans, as khalīfah, are obligated to ensure their equitable, efficient, and sustainable utilization.</w:t>
      </w:r>
    </w:p>
    <w:p w14:paraId="32BAE62D" w14:textId="77777777" w:rsidR="00B93166" w:rsidRDefault="00B93166" w:rsidP="00B93166">
      <w:pPr>
        <w:widowControl w:val="0"/>
        <w:spacing w:line="276" w:lineRule="auto"/>
        <w:ind w:firstLine="360"/>
        <w:jc w:val="both"/>
        <w:rPr>
          <w:rFonts w:ascii="Book Antiqua" w:eastAsia="Book Antiqua" w:hAnsi="Book Antiqua" w:cs="Book Antiqua"/>
        </w:rPr>
      </w:pPr>
      <w:r w:rsidRPr="00702266">
        <w:rPr>
          <w:rFonts w:ascii="Book Antiqua" w:eastAsia="Book Antiqua" w:hAnsi="Book Antiqua" w:cs="Book Antiqua"/>
        </w:rPr>
        <w:t>Despite growing scholarly attention linking ICE with Maqā</w:t>
      </w:r>
      <w:r w:rsidRPr="00702266">
        <w:rPr>
          <w:rFonts w:ascii="Cambria" w:eastAsia="Book Antiqua" w:hAnsi="Cambria" w:cs="Cambria"/>
        </w:rPr>
        <w:t>ṣ</w:t>
      </w:r>
      <w:r w:rsidRPr="00702266">
        <w:rPr>
          <w:rFonts w:ascii="Book Antiqua" w:eastAsia="Book Antiqua" w:hAnsi="Book Antiqua" w:cs="Book Antiqua"/>
        </w:rPr>
        <w:t>id al-Sharī</w:t>
      </w:r>
      <w:r w:rsidRPr="00702266">
        <w:rPr>
          <w:rFonts w:eastAsia="Book Antiqua"/>
        </w:rPr>
        <w:t>ʿ</w:t>
      </w:r>
      <w:r w:rsidRPr="00702266">
        <w:rPr>
          <w:rFonts w:ascii="Book Antiqua" w:eastAsia="Book Antiqua" w:hAnsi="Book Antiqua" w:cs="Book Antiqua"/>
        </w:rPr>
        <w:t xml:space="preserve">ah, Islamic social finance, halal industries, and the green economy, the literature remains theoretically fragmented. Existing studies predominantly offer normative or conceptual discussions without articulating an integrated theoretical model that explains the dynamic relationships among Islamic ethical values, institutional governance, economic behaviour, and environmental sustainability (Fathma et al., 2025; Afandi &amp; Rahma, 2025). The Qur'an and the Sunnah provide the foundational epistemology of ICE by prohibiting wastefulness (Qur'an 7:31), condemning environmental degradation (Qur'an 30:41), and promoting the Prophetic principle of lā </w:t>
      </w:r>
      <w:r w:rsidRPr="00702266">
        <w:rPr>
          <w:rFonts w:ascii="Cambria" w:eastAsia="Book Antiqua" w:hAnsi="Cambria" w:cs="Cambria"/>
        </w:rPr>
        <w:t>ḍ</w:t>
      </w:r>
      <w:r w:rsidRPr="00702266">
        <w:rPr>
          <w:rFonts w:ascii="Book Antiqua" w:eastAsia="Book Antiqua" w:hAnsi="Book Antiqua" w:cs="Book Antiqua"/>
        </w:rPr>
        <w:t xml:space="preserve">arar wa lā </w:t>
      </w:r>
      <w:r w:rsidRPr="00702266">
        <w:rPr>
          <w:rFonts w:ascii="Cambria" w:eastAsia="Book Antiqua" w:hAnsi="Cambria" w:cs="Cambria"/>
        </w:rPr>
        <w:t>ḍ</w:t>
      </w:r>
      <w:r w:rsidRPr="00702266">
        <w:rPr>
          <w:rFonts w:ascii="Book Antiqua" w:eastAsia="Book Antiqua" w:hAnsi="Book Antiqua" w:cs="Book Antiqua"/>
        </w:rPr>
        <w:t xml:space="preserve">irār, which requires economic activities to prevent harm to both society and nature. </w:t>
      </w:r>
    </w:p>
    <w:p w14:paraId="471D1780" w14:textId="77777777" w:rsidR="00B93166" w:rsidRDefault="00B93166" w:rsidP="00B93166">
      <w:pPr>
        <w:widowControl w:val="0"/>
        <w:spacing w:after="120" w:line="276" w:lineRule="auto"/>
        <w:ind w:firstLine="360"/>
        <w:jc w:val="both"/>
        <w:rPr>
          <w:rFonts w:ascii="Book Antiqua" w:eastAsia="Book Antiqua" w:hAnsi="Book Antiqua" w:cs="Book Antiqua"/>
        </w:rPr>
      </w:pPr>
      <w:r w:rsidRPr="00702266">
        <w:rPr>
          <w:rFonts w:ascii="Book Antiqua" w:eastAsia="Book Antiqua" w:hAnsi="Book Antiqua" w:cs="Book Antiqua"/>
        </w:rPr>
        <w:t xml:space="preserve">Accordingly, ICE transcends the technical logic of circularity by positioning ethical accountability, distributive justice, and Sharia-compliant institutions—including zakat, waqf, </w:t>
      </w:r>
      <w:r w:rsidRPr="00702266">
        <w:rPr>
          <w:rFonts w:ascii="Cambria" w:eastAsia="Book Antiqua" w:hAnsi="Cambria" w:cs="Cambria"/>
        </w:rPr>
        <w:t>ṣ</w:t>
      </w:r>
      <w:r w:rsidRPr="00702266">
        <w:rPr>
          <w:rFonts w:ascii="Book Antiqua" w:eastAsia="Book Antiqua" w:hAnsi="Book Antiqua" w:cs="Book Antiqua"/>
        </w:rPr>
        <w:t>adaqah, and Islamic finance—as essential mechanisms for achieving sustainable development. This positions ICE as a holistic theoretical paradigm that integrates ecological, economic, social, and spiritual dimensions, thereby enriching the evolving discourse on sustainable development beyond the conventional Circular Economy framework (Rahma et al., 2025; Korhonen et al., 2018; Jayyousi et al. 2022, Raimi, 2026).</w:t>
      </w:r>
    </w:p>
    <w:p w14:paraId="421B6A75" w14:textId="6FE73839" w:rsidR="00B93166" w:rsidRPr="00C43FC0" w:rsidRDefault="00B93166" w:rsidP="00B93166">
      <w:pPr>
        <w:widowControl w:val="0"/>
        <w:spacing w:line="276" w:lineRule="auto"/>
        <w:jc w:val="both"/>
        <w:rPr>
          <w:rFonts w:ascii="Book Antiqua" w:eastAsia="Book Antiqua" w:hAnsi="Book Antiqua" w:cs="Book Antiqua"/>
          <w:b/>
          <w:bCs/>
        </w:rPr>
      </w:pPr>
      <w:r w:rsidRPr="00C43FC0">
        <w:rPr>
          <w:rFonts w:ascii="Book Antiqua" w:eastAsia="Book Antiqua" w:hAnsi="Book Antiqua" w:cs="Book Antiqua"/>
          <w:b/>
          <w:bCs/>
        </w:rPr>
        <w:t>Sustainable Development</w:t>
      </w:r>
    </w:p>
    <w:p w14:paraId="30CFE5FE" w14:textId="77777777" w:rsidR="00B93166" w:rsidRPr="00127051" w:rsidRDefault="00B93166" w:rsidP="00B93166">
      <w:pPr>
        <w:widowControl w:val="0"/>
        <w:spacing w:line="276" w:lineRule="auto"/>
        <w:ind w:firstLine="360"/>
        <w:jc w:val="both"/>
        <w:rPr>
          <w:rFonts w:ascii="Book Antiqua" w:eastAsia="Book Antiqua" w:hAnsi="Book Antiqua" w:cs="Book Antiqua"/>
        </w:rPr>
      </w:pPr>
      <w:r w:rsidRPr="00127051">
        <w:rPr>
          <w:rFonts w:ascii="Book Antiqua" w:eastAsia="Book Antiqua" w:hAnsi="Book Antiqua" w:cs="Book Antiqua"/>
        </w:rPr>
        <w:t>Sustainable development has emerged as a dominant paradigm for addressing the intertwined challenges of environmental degradation, social inequality, and resource depletion. The Sustainable Development Goals (SDGs) conceptualize development as a process that satisfies present needs while safeguarding the capacity of future generations to achieve their own well-being (United Nations, 2015). Accordingly, sustainability requires a balanced integration of economic prosperity, environmental integrity, and social equity to ensure long-term resilience and systemic sustainability (Geissdoerfer et al., 2017). Contemporary sustainability theory further emphasizes that development should be assessed not solely through economic growth but also through human well-being, distributive justice, and the preservation of ecological boundaries (Holden et al., 2025).</w:t>
      </w:r>
    </w:p>
    <w:p w14:paraId="247BD4EA" w14:textId="2720D6BB" w:rsidR="004C2FE9" w:rsidRPr="00B93166" w:rsidRDefault="00B93166" w:rsidP="00B93166">
      <w:pPr>
        <w:spacing w:after="120" w:line="276" w:lineRule="auto"/>
        <w:ind w:firstLine="360"/>
        <w:jc w:val="both"/>
        <w:rPr>
          <w:rFonts w:ascii="Book Antiqua" w:hAnsi="Book Antiqua"/>
          <w:lang w:val="id-ID"/>
        </w:rPr>
      </w:pPr>
      <w:r w:rsidRPr="003F7CE3">
        <w:rPr>
          <w:rFonts w:ascii="Book Antiqua" w:eastAsia="Book Antiqua" w:hAnsi="Book Antiqua"/>
        </w:rPr>
        <w:t>From an Islamic perspective, these objectives are reinforced by a comprehensive ethical framework grounded in the Qur'an and Sunnah. The Qur'an explicitly prohibits environmental corruption (Qur'an 7:56) and commands the preservation of cosmic balance (mīzān) (Qur'an 55:7–9), while the Sunnah promotes environmental stewardship through practical acts of conservation. These principles establish humans as khalīfah, entrusted with safeguarding natural resources in pursuit of justice, ecological harmony, and ma</w:t>
      </w:r>
      <w:r w:rsidRPr="003F7CE3">
        <w:rPr>
          <w:rFonts w:ascii="Cambria" w:eastAsia="Book Antiqua" w:hAnsi="Cambria" w:cs="Cambria"/>
        </w:rPr>
        <w:t>ṣ</w:t>
      </w:r>
      <w:r w:rsidRPr="003F7CE3">
        <w:rPr>
          <w:rFonts w:ascii="Book Antiqua" w:eastAsia="Book Antiqua" w:hAnsi="Book Antiqua"/>
        </w:rPr>
        <w:t>la</w:t>
      </w:r>
      <w:r w:rsidRPr="003F7CE3">
        <w:rPr>
          <w:rFonts w:ascii="Cambria" w:eastAsia="Book Antiqua" w:hAnsi="Cambria" w:cs="Cambria"/>
        </w:rPr>
        <w:t>ḥ</w:t>
      </w:r>
      <w:r w:rsidRPr="003F7CE3">
        <w:rPr>
          <w:rFonts w:ascii="Book Antiqua" w:eastAsia="Book Antiqua" w:hAnsi="Book Antiqua"/>
        </w:rPr>
        <w:t xml:space="preserve">ah. While prevailing sustainability frameworks predominantly emphasize institutional and technological solutions, the Islamic perspective contributes a normative dimension by </w:t>
      </w:r>
      <w:r w:rsidRPr="003F7CE3">
        <w:rPr>
          <w:rFonts w:ascii="Book Antiqua" w:eastAsia="Book Antiqua" w:hAnsi="Book Antiqua"/>
        </w:rPr>
        <w:lastRenderedPageBreak/>
        <w:t>integrating spiritual accountability, ethical stewardship, and the objectives of Maqā</w:t>
      </w:r>
      <w:r w:rsidRPr="003F7CE3">
        <w:rPr>
          <w:rFonts w:ascii="Cambria" w:eastAsia="Book Antiqua" w:hAnsi="Cambria" w:cs="Cambria"/>
        </w:rPr>
        <w:t>ṣ</w:t>
      </w:r>
      <w:r w:rsidRPr="003F7CE3">
        <w:rPr>
          <w:rFonts w:ascii="Book Antiqua" w:eastAsia="Book Antiqua" w:hAnsi="Book Antiqua"/>
        </w:rPr>
        <w:t>id al-Sharī</w:t>
      </w:r>
      <w:r w:rsidRPr="003F7CE3">
        <w:rPr>
          <w:rFonts w:eastAsia="Book Antiqua"/>
        </w:rPr>
        <w:t>ʿ</w:t>
      </w:r>
      <w:r w:rsidRPr="003F7CE3">
        <w:rPr>
          <w:rFonts w:ascii="Book Antiqua" w:eastAsia="Book Antiqua" w:hAnsi="Book Antiqua"/>
        </w:rPr>
        <w:t>ah. Consequently, this theoretical integration provides a stronger conceptual foundation for the Islamic Circular Economy, positioning sustainability as a moral, ecological, and socio-economic responsibility rather than merely a policy objective.</w:t>
      </w:r>
    </w:p>
    <w:p w14:paraId="3D3081B4" w14:textId="26139799" w:rsidR="00365977" w:rsidRPr="00DA6F03" w:rsidRDefault="00000000" w:rsidP="009635F0">
      <w:pPr>
        <w:numPr>
          <w:ilvl w:val="0"/>
          <w:numId w:val="4"/>
        </w:numPr>
        <w:spacing w:line="276" w:lineRule="auto"/>
        <w:rPr>
          <w:rFonts w:ascii="Book Antiqua" w:eastAsia="Book Antiqua" w:hAnsi="Book Antiqua" w:cs="Book Antiqua"/>
          <w:b/>
        </w:rPr>
      </w:pPr>
      <w:r w:rsidRPr="00DA6F03">
        <w:rPr>
          <w:rFonts w:ascii="Book Antiqua" w:eastAsia="Book Antiqua" w:hAnsi="Book Antiqua" w:cs="Book Antiqua"/>
          <w:b/>
        </w:rPr>
        <w:t xml:space="preserve">METHOD </w:t>
      </w:r>
    </w:p>
    <w:p w14:paraId="3FE989CC" w14:textId="486DBCFA" w:rsidR="00B93166" w:rsidRPr="00701E46" w:rsidRDefault="00B93166" w:rsidP="00B93166">
      <w:pPr>
        <w:spacing w:line="276" w:lineRule="auto"/>
        <w:jc w:val="both"/>
        <w:rPr>
          <w:rFonts w:ascii="Book Antiqua" w:eastAsia="Book Antiqua" w:hAnsi="Book Antiqua" w:cs="Book Antiqua"/>
          <w:b/>
          <w:bCs/>
        </w:rPr>
      </w:pPr>
      <w:bookmarkStart w:id="1" w:name="_heading=h.1fob9te" w:colFirst="0" w:colLast="0"/>
      <w:bookmarkEnd w:id="1"/>
      <w:r w:rsidRPr="00701E46">
        <w:rPr>
          <w:rFonts w:ascii="Book Antiqua" w:eastAsia="Book Antiqua" w:hAnsi="Book Antiqua" w:cs="Book Antiqua"/>
          <w:b/>
          <w:bCs/>
        </w:rPr>
        <w:t>Research Design</w:t>
      </w:r>
    </w:p>
    <w:p w14:paraId="7D583657" w14:textId="77777777" w:rsidR="00B93166" w:rsidRDefault="00B93166" w:rsidP="00B93166">
      <w:pPr>
        <w:spacing w:after="120" w:line="276" w:lineRule="auto"/>
        <w:ind w:firstLine="360"/>
        <w:jc w:val="both"/>
        <w:rPr>
          <w:rFonts w:ascii="Book Antiqua" w:eastAsia="Book Antiqua" w:hAnsi="Book Antiqua" w:cs="Book Antiqua"/>
        </w:rPr>
      </w:pPr>
      <w:r w:rsidRPr="006918DC">
        <w:rPr>
          <w:rFonts w:ascii="Book Antiqua" w:eastAsia="Book Antiqua" w:hAnsi="Book Antiqua" w:cs="Book Antiqua"/>
        </w:rPr>
        <w:t>This study adopts a qualitative library research design to reconstruct the conceptual framework of the Islamic Circular Economy (ICE) by integrating the Qur'an, Hadith, and contemporary sustainability literature. A qualitative approach is appropriate because it enables the exploration of meanings, ethical values, and conceptual relationships embedded in authoritative texts rather than statistical testing. Following the qualitative paradigm proposed by Creswell and Poth (2018), the study applies an inductive reasoning process to develop a conceptual model from textual evidence. Instead of verifying existing theories, the research synthesizes Islamic normative principles with Circular Economy (CE) and Sustainable Development (SD) concepts to formulate a comprehensive Islamic Circular Economy framework.</w:t>
      </w:r>
    </w:p>
    <w:p w14:paraId="3C29A2A3" w14:textId="2C55424B" w:rsidR="00B93166" w:rsidRPr="00D91744" w:rsidRDefault="00B93166" w:rsidP="00B93166">
      <w:pPr>
        <w:spacing w:line="276" w:lineRule="auto"/>
        <w:jc w:val="both"/>
        <w:rPr>
          <w:rFonts w:ascii="Book Antiqua" w:eastAsia="Book Antiqua" w:hAnsi="Book Antiqua" w:cs="Book Antiqua"/>
          <w:b/>
          <w:bCs/>
        </w:rPr>
      </w:pPr>
      <w:r w:rsidRPr="00D91744">
        <w:rPr>
          <w:rFonts w:ascii="Book Antiqua" w:eastAsia="Book Antiqua" w:hAnsi="Book Antiqua" w:cs="Book Antiqua"/>
          <w:b/>
          <w:bCs/>
        </w:rPr>
        <w:t>Data Sources and Sampling</w:t>
      </w:r>
    </w:p>
    <w:p w14:paraId="2CF62B77" w14:textId="77777777" w:rsidR="00B93166" w:rsidRDefault="00B93166" w:rsidP="00B93166">
      <w:pPr>
        <w:spacing w:line="276" w:lineRule="auto"/>
        <w:ind w:firstLine="360"/>
        <w:jc w:val="both"/>
        <w:rPr>
          <w:rFonts w:ascii="Book Antiqua" w:eastAsia="Book Antiqua" w:hAnsi="Book Antiqua" w:cs="Book Antiqua"/>
        </w:rPr>
      </w:pPr>
      <w:r w:rsidRPr="001A2280">
        <w:rPr>
          <w:rFonts w:ascii="Book Antiqua" w:eastAsia="Book Antiqua" w:hAnsi="Book Antiqua" w:cs="Book Antiqua"/>
        </w:rPr>
        <w:t xml:space="preserve">This research relies exclusively on secondary data collected through purposive sampling, whereby documents are selected based on their relevance and academic authority. The primary sources consist of the Qur'an and authentic Hadith, particularly </w:t>
      </w:r>
      <w:r w:rsidRPr="001A2280">
        <w:rPr>
          <w:rFonts w:ascii="Cambria" w:eastAsia="Book Antiqua" w:hAnsi="Cambria" w:cs="Cambria"/>
        </w:rPr>
        <w:t>Ṣ</w:t>
      </w:r>
      <w:r w:rsidRPr="001A2280">
        <w:rPr>
          <w:rFonts w:ascii="Book Antiqua" w:eastAsia="Book Antiqua" w:hAnsi="Book Antiqua" w:cs="Book Antiqua"/>
        </w:rPr>
        <w:t>a</w:t>
      </w:r>
      <w:r w:rsidRPr="001A2280">
        <w:rPr>
          <w:rFonts w:ascii="Cambria" w:eastAsia="Book Antiqua" w:hAnsi="Cambria" w:cs="Cambria"/>
        </w:rPr>
        <w:t>ḥ</w:t>
      </w:r>
      <w:r w:rsidRPr="001A2280">
        <w:rPr>
          <w:rFonts w:ascii="Book Antiqua" w:eastAsia="Book Antiqua" w:hAnsi="Book Antiqua" w:cs="Book Antiqua"/>
        </w:rPr>
        <w:t>ī</w:t>
      </w:r>
      <w:r w:rsidRPr="001A2280">
        <w:rPr>
          <w:rFonts w:ascii="Cambria" w:eastAsia="Book Antiqua" w:hAnsi="Cambria" w:cs="Cambria"/>
        </w:rPr>
        <w:t>ḥ</w:t>
      </w:r>
      <w:r w:rsidRPr="001A2280">
        <w:rPr>
          <w:rFonts w:ascii="Book Antiqua" w:eastAsia="Book Antiqua" w:hAnsi="Book Antiqua" w:cs="Book Antiqua"/>
        </w:rPr>
        <w:t xml:space="preserve"> al-Bukhārī, </w:t>
      </w:r>
      <w:r w:rsidRPr="001A2280">
        <w:rPr>
          <w:rFonts w:ascii="Cambria" w:eastAsia="Book Antiqua" w:hAnsi="Cambria" w:cs="Cambria"/>
        </w:rPr>
        <w:t>Ṣ</w:t>
      </w:r>
      <w:r w:rsidRPr="001A2280">
        <w:rPr>
          <w:rFonts w:ascii="Book Antiqua" w:eastAsia="Book Antiqua" w:hAnsi="Book Antiqua" w:cs="Book Antiqua"/>
        </w:rPr>
        <w:t>a</w:t>
      </w:r>
      <w:r w:rsidRPr="001A2280">
        <w:rPr>
          <w:rFonts w:ascii="Cambria" w:eastAsia="Book Antiqua" w:hAnsi="Cambria" w:cs="Cambria"/>
        </w:rPr>
        <w:t>ḥ</w:t>
      </w:r>
      <w:r w:rsidRPr="001A2280">
        <w:rPr>
          <w:rFonts w:ascii="Book Antiqua" w:eastAsia="Book Antiqua" w:hAnsi="Book Antiqua" w:cs="Book Antiqua"/>
        </w:rPr>
        <w:t>ī</w:t>
      </w:r>
      <w:r w:rsidRPr="001A2280">
        <w:rPr>
          <w:rFonts w:ascii="Cambria" w:eastAsia="Book Antiqua" w:hAnsi="Cambria" w:cs="Cambria"/>
        </w:rPr>
        <w:t>ḥ</w:t>
      </w:r>
      <w:r w:rsidRPr="001A2280">
        <w:rPr>
          <w:rFonts w:ascii="Book Antiqua" w:eastAsia="Book Antiqua" w:hAnsi="Book Antiqua" w:cs="Book Antiqua"/>
        </w:rPr>
        <w:t xml:space="preserve"> Muslim, Sunan Abū Dāwūd, and Jāmi</w:t>
      </w:r>
      <w:r w:rsidRPr="001A2280">
        <w:rPr>
          <w:rFonts w:eastAsia="Book Antiqua"/>
        </w:rPr>
        <w:t>ʿ</w:t>
      </w:r>
      <w:r w:rsidRPr="001A2280">
        <w:rPr>
          <w:rFonts w:ascii="Book Antiqua" w:eastAsia="Book Antiqua" w:hAnsi="Book Antiqua" w:cs="Book Antiqua"/>
        </w:rPr>
        <w:t xml:space="preserve"> al-Tirmidhī. These texts provide theological foundations concerning environmental stewardship, responsible resource management, moderation (isrāf), justice, and public welfare (ma</w:t>
      </w:r>
      <w:r w:rsidRPr="001A2280">
        <w:rPr>
          <w:rFonts w:ascii="Cambria" w:eastAsia="Book Antiqua" w:hAnsi="Cambria" w:cs="Cambria"/>
        </w:rPr>
        <w:t>ṣ</w:t>
      </w:r>
      <w:r w:rsidRPr="001A2280">
        <w:rPr>
          <w:rFonts w:ascii="Book Antiqua" w:eastAsia="Book Antiqua" w:hAnsi="Book Antiqua" w:cs="Book Antiqua"/>
        </w:rPr>
        <w:t>la</w:t>
      </w:r>
      <w:r w:rsidRPr="001A2280">
        <w:rPr>
          <w:rFonts w:ascii="Cambria" w:eastAsia="Book Antiqua" w:hAnsi="Cambria" w:cs="Cambria"/>
        </w:rPr>
        <w:t>ḥ</w:t>
      </w:r>
      <w:r w:rsidRPr="001A2280">
        <w:rPr>
          <w:rFonts w:ascii="Book Antiqua" w:eastAsia="Book Antiqua" w:hAnsi="Book Antiqua" w:cs="Book Antiqua"/>
        </w:rPr>
        <w:t>ah).</w:t>
      </w:r>
    </w:p>
    <w:p w14:paraId="58E956B0" w14:textId="2BEFE378" w:rsidR="00B93166" w:rsidRDefault="00B93166" w:rsidP="00B93166">
      <w:pPr>
        <w:spacing w:after="120" w:line="276" w:lineRule="auto"/>
        <w:ind w:firstLine="360"/>
        <w:jc w:val="both"/>
        <w:rPr>
          <w:rFonts w:ascii="Book Antiqua" w:eastAsia="Book Antiqua" w:hAnsi="Book Antiqua" w:cs="Book Antiqua"/>
        </w:rPr>
      </w:pPr>
      <w:r w:rsidRPr="001A2280">
        <w:rPr>
          <w:rFonts w:ascii="Book Antiqua" w:eastAsia="Book Antiqua" w:hAnsi="Book Antiqua" w:cs="Book Antiqua"/>
        </w:rPr>
        <w:t>Secondary sources include peer-reviewed articles indexed in Scopus and SINTA, scholarly books, and internationally recognized reports published by the United Nations Environment Programme (UNEP), the United Nations (UN), the World Bank, and the Ellen MacArthur Foundation. To capture recent developments in sustainability research, scientific publications were limited to the period 2015–2026, corresponding with the adoption of the Sustainable Development Goals (SDGs). Literature was retrieved from Scopus, ScienceDirect, SpringerLink, Wiley Online Library, Emerald Insight, Taylor &amp; Francis Online, and Google Scholar.</w:t>
      </w:r>
    </w:p>
    <w:p w14:paraId="0AAF7070" w14:textId="6F66A533" w:rsidR="00B93166" w:rsidRPr="00F45210" w:rsidRDefault="00B93166" w:rsidP="00B93166">
      <w:pPr>
        <w:spacing w:line="276" w:lineRule="auto"/>
        <w:jc w:val="both"/>
        <w:rPr>
          <w:rFonts w:ascii="Book Antiqua" w:eastAsia="Book Antiqua" w:hAnsi="Book Antiqua" w:cs="Book Antiqua"/>
          <w:b/>
          <w:bCs/>
        </w:rPr>
      </w:pPr>
      <w:r w:rsidRPr="00F45210">
        <w:rPr>
          <w:rFonts w:ascii="Book Antiqua" w:eastAsia="Book Antiqua" w:hAnsi="Book Antiqua" w:cs="Book Antiqua"/>
          <w:b/>
          <w:bCs/>
        </w:rPr>
        <w:t>Operationalization of Research Concepts</w:t>
      </w:r>
    </w:p>
    <w:p w14:paraId="4E8BF9D6" w14:textId="4FDC90A2" w:rsidR="00B93166" w:rsidRDefault="00B93166" w:rsidP="00B93166">
      <w:pPr>
        <w:spacing w:after="120" w:line="276" w:lineRule="auto"/>
        <w:ind w:firstLine="360"/>
        <w:jc w:val="both"/>
        <w:rPr>
          <w:rFonts w:ascii="Book Antiqua" w:eastAsia="Book Antiqua" w:hAnsi="Book Antiqua" w:cs="Book Antiqua"/>
        </w:rPr>
      </w:pPr>
      <w:r w:rsidRPr="001C58AF">
        <w:rPr>
          <w:rFonts w:ascii="Book Antiqua" w:eastAsia="Book Antiqua" w:hAnsi="Book Antiqua" w:cs="Book Antiqua"/>
        </w:rPr>
        <w:t>As a conceptual qualitative study, the analysis focuses on key research constructs rather than measurable variables. These constructs provide the analytical basis for identifying the convergence between Islamic teachings, Circular Economy principles, and sustainable development.</w:t>
      </w:r>
    </w:p>
    <w:p w14:paraId="6D93B700" w14:textId="68A4D7D6" w:rsidR="00B93166" w:rsidRDefault="00B93166" w:rsidP="00B93166">
      <w:pPr>
        <w:spacing w:line="276" w:lineRule="auto"/>
        <w:jc w:val="center"/>
        <w:rPr>
          <w:rFonts w:ascii="Book Antiqua" w:eastAsia="Book Antiqua" w:hAnsi="Book Antiqua" w:cs="Book Antiqua"/>
        </w:rPr>
      </w:pPr>
      <w:r>
        <w:rPr>
          <w:rFonts w:ascii="Book Antiqua" w:eastAsia="Book Antiqua" w:hAnsi="Book Antiqua" w:cs="Book Antiqua"/>
        </w:rPr>
        <w:t xml:space="preserve">Tabel 1. </w:t>
      </w:r>
      <w:r w:rsidRPr="001C58AF">
        <w:rPr>
          <w:rFonts w:ascii="Book Antiqua" w:eastAsia="Book Antiqua" w:hAnsi="Book Antiqua" w:cs="Book Antiqua"/>
        </w:rPr>
        <w:t>Operationalization of Research</w:t>
      </w:r>
    </w:p>
    <w:tbl>
      <w:tblPr>
        <w:tblStyle w:val="TableGrid1"/>
        <w:tblW w:w="9072" w:type="dxa"/>
        <w:jc w:val="center"/>
        <w:tblLook w:val="04A0" w:firstRow="1" w:lastRow="0" w:firstColumn="1" w:lastColumn="0" w:noHBand="0" w:noVBand="1"/>
      </w:tblPr>
      <w:tblGrid>
        <w:gridCol w:w="2254"/>
        <w:gridCol w:w="3231"/>
        <w:gridCol w:w="3587"/>
      </w:tblGrid>
      <w:tr w:rsidR="00B93166" w:rsidRPr="00B93166" w14:paraId="0EA6C27C" w14:textId="77777777" w:rsidTr="005C12AE">
        <w:trPr>
          <w:jc w:val="center"/>
        </w:trPr>
        <w:tc>
          <w:tcPr>
            <w:tcW w:w="2254" w:type="dxa"/>
            <w:vAlign w:val="center"/>
          </w:tcPr>
          <w:p w14:paraId="56E05F7A" w14:textId="77777777" w:rsidR="00B93166" w:rsidRPr="00B93166" w:rsidRDefault="00B93166" w:rsidP="00B93166">
            <w:pPr>
              <w:jc w:val="center"/>
              <w:rPr>
                <w:rFonts w:ascii="Book Antiqua" w:hAnsi="Book Antiqua" w:cs="Calibri"/>
                <w:sz w:val="20"/>
                <w:szCs w:val="20"/>
                <w:lang w:val="en-ID"/>
              </w:rPr>
            </w:pPr>
            <w:r w:rsidRPr="00B93166">
              <w:rPr>
                <w:rFonts w:ascii="Book Antiqua" w:hAnsi="Book Antiqua" w:cs="Times New Roman"/>
                <w:b/>
                <w:bCs/>
                <w:sz w:val="20"/>
                <w:szCs w:val="20"/>
                <w:lang w:val="en-ID"/>
              </w:rPr>
              <w:t>Research Construct</w:t>
            </w:r>
          </w:p>
        </w:tc>
        <w:tc>
          <w:tcPr>
            <w:tcW w:w="3231" w:type="dxa"/>
            <w:vAlign w:val="center"/>
          </w:tcPr>
          <w:p w14:paraId="78BBBB7C" w14:textId="77777777" w:rsidR="00B93166" w:rsidRPr="00B93166" w:rsidRDefault="00B93166" w:rsidP="00B93166">
            <w:pPr>
              <w:jc w:val="center"/>
              <w:rPr>
                <w:rFonts w:ascii="Book Antiqua" w:hAnsi="Book Antiqua" w:cs="Calibri"/>
                <w:sz w:val="20"/>
                <w:szCs w:val="20"/>
                <w:lang w:val="en-ID"/>
              </w:rPr>
            </w:pPr>
            <w:r w:rsidRPr="00B93166">
              <w:rPr>
                <w:rFonts w:ascii="Book Antiqua" w:hAnsi="Book Antiqua" w:cs="Times New Roman"/>
                <w:b/>
                <w:bCs/>
                <w:sz w:val="20"/>
                <w:szCs w:val="20"/>
                <w:lang w:val="en-ID"/>
              </w:rPr>
              <w:t>Analytical Indicators</w:t>
            </w:r>
          </w:p>
        </w:tc>
        <w:tc>
          <w:tcPr>
            <w:tcW w:w="3587" w:type="dxa"/>
            <w:vAlign w:val="center"/>
          </w:tcPr>
          <w:p w14:paraId="55148107" w14:textId="77777777" w:rsidR="00B93166" w:rsidRPr="00B93166" w:rsidRDefault="00B93166" w:rsidP="00B93166">
            <w:pPr>
              <w:jc w:val="center"/>
              <w:rPr>
                <w:rFonts w:ascii="Book Antiqua" w:hAnsi="Book Antiqua" w:cs="Calibri"/>
                <w:sz w:val="20"/>
                <w:szCs w:val="20"/>
                <w:lang w:val="en-ID"/>
              </w:rPr>
            </w:pPr>
            <w:r w:rsidRPr="00B93166">
              <w:rPr>
                <w:rFonts w:ascii="Book Antiqua" w:hAnsi="Book Antiqua" w:cs="Times New Roman"/>
                <w:b/>
                <w:bCs/>
                <w:sz w:val="20"/>
                <w:szCs w:val="20"/>
                <w:lang w:val="en-ID"/>
              </w:rPr>
              <w:t>Primary Data Sources</w:t>
            </w:r>
          </w:p>
        </w:tc>
      </w:tr>
      <w:tr w:rsidR="00B93166" w:rsidRPr="00B93166" w14:paraId="2CCC2747" w14:textId="77777777" w:rsidTr="005C12AE">
        <w:trPr>
          <w:jc w:val="center"/>
        </w:trPr>
        <w:tc>
          <w:tcPr>
            <w:tcW w:w="2254" w:type="dxa"/>
          </w:tcPr>
          <w:p w14:paraId="2E7FD9D4" w14:textId="77777777" w:rsidR="00B93166" w:rsidRPr="00B93166" w:rsidRDefault="00B93166" w:rsidP="00B93166">
            <w:pPr>
              <w:jc w:val="both"/>
              <w:rPr>
                <w:rFonts w:ascii="Book Antiqua" w:hAnsi="Book Antiqua" w:cs="Calibri"/>
                <w:sz w:val="20"/>
                <w:szCs w:val="20"/>
                <w:lang w:val="en-ID"/>
              </w:rPr>
            </w:pPr>
            <w:r w:rsidRPr="00B93166">
              <w:rPr>
                <w:rFonts w:ascii="Book Antiqua" w:hAnsi="Book Antiqua"/>
                <w:sz w:val="20"/>
                <w:szCs w:val="20"/>
              </w:rPr>
              <w:t>Circular Economy</w:t>
            </w:r>
          </w:p>
        </w:tc>
        <w:tc>
          <w:tcPr>
            <w:tcW w:w="3231" w:type="dxa"/>
          </w:tcPr>
          <w:p w14:paraId="79D45821" w14:textId="77777777" w:rsidR="00B93166" w:rsidRPr="00B93166" w:rsidRDefault="00B93166" w:rsidP="00B93166">
            <w:pPr>
              <w:jc w:val="both"/>
              <w:rPr>
                <w:rFonts w:ascii="Book Antiqua" w:hAnsi="Book Antiqua" w:cs="Calibri"/>
                <w:sz w:val="20"/>
                <w:szCs w:val="20"/>
                <w:lang w:val="en-ID"/>
              </w:rPr>
            </w:pPr>
            <w:r w:rsidRPr="00B93166">
              <w:rPr>
                <w:rFonts w:ascii="Book Antiqua" w:hAnsi="Book Antiqua"/>
                <w:sz w:val="20"/>
                <w:szCs w:val="20"/>
              </w:rPr>
              <w:t>Reduce, Reuse, Recycle, Recover, Regenerate, resource efficiency</w:t>
            </w:r>
          </w:p>
        </w:tc>
        <w:tc>
          <w:tcPr>
            <w:tcW w:w="3587" w:type="dxa"/>
          </w:tcPr>
          <w:p w14:paraId="6245DA14" w14:textId="77777777" w:rsidR="00B93166" w:rsidRPr="00B93166" w:rsidRDefault="00B93166" w:rsidP="00B93166">
            <w:pPr>
              <w:jc w:val="both"/>
              <w:rPr>
                <w:rFonts w:ascii="Book Antiqua" w:hAnsi="Book Antiqua" w:cs="Calibri"/>
                <w:sz w:val="20"/>
                <w:szCs w:val="20"/>
                <w:lang w:val="en-ID"/>
              </w:rPr>
            </w:pPr>
            <w:r w:rsidRPr="00B93166">
              <w:rPr>
                <w:rFonts w:ascii="Book Antiqua" w:hAnsi="Book Antiqua"/>
                <w:sz w:val="20"/>
                <w:szCs w:val="20"/>
              </w:rPr>
              <w:t>Circular Economy literature, Ellen MacArthur Foundation framework</w:t>
            </w:r>
          </w:p>
        </w:tc>
      </w:tr>
      <w:tr w:rsidR="00B93166" w:rsidRPr="00B93166" w14:paraId="007D8F7D" w14:textId="77777777" w:rsidTr="005C12AE">
        <w:trPr>
          <w:jc w:val="center"/>
        </w:trPr>
        <w:tc>
          <w:tcPr>
            <w:tcW w:w="2254" w:type="dxa"/>
          </w:tcPr>
          <w:p w14:paraId="2F0BABDB" w14:textId="77777777" w:rsidR="00B93166" w:rsidRPr="00B93166" w:rsidRDefault="00B93166" w:rsidP="00B93166">
            <w:pPr>
              <w:jc w:val="both"/>
              <w:rPr>
                <w:rFonts w:ascii="Book Antiqua" w:hAnsi="Book Antiqua" w:cs="Calibri"/>
                <w:sz w:val="20"/>
                <w:szCs w:val="20"/>
                <w:lang w:val="en-ID"/>
              </w:rPr>
            </w:pPr>
            <w:r w:rsidRPr="00B93166">
              <w:rPr>
                <w:rFonts w:ascii="Book Antiqua" w:hAnsi="Book Antiqua"/>
                <w:sz w:val="20"/>
                <w:szCs w:val="20"/>
              </w:rPr>
              <w:t>Islamic Values</w:t>
            </w:r>
          </w:p>
        </w:tc>
        <w:tc>
          <w:tcPr>
            <w:tcW w:w="3231" w:type="dxa"/>
          </w:tcPr>
          <w:p w14:paraId="6DCCBAF6" w14:textId="77777777" w:rsidR="00B93166" w:rsidRPr="00B93166" w:rsidRDefault="00B93166" w:rsidP="00B93166">
            <w:pPr>
              <w:jc w:val="both"/>
              <w:rPr>
                <w:rFonts w:ascii="Book Antiqua" w:hAnsi="Book Antiqua" w:cs="Calibri"/>
                <w:sz w:val="20"/>
                <w:szCs w:val="20"/>
                <w:lang w:val="en-ID"/>
              </w:rPr>
            </w:pPr>
            <w:r w:rsidRPr="00B93166">
              <w:rPr>
                <w:rFonts w:ascii="Book Antiqua" w:hAnsi="Book Antiqua"/>
                <w:sz w:val="20"/>
                <w:szCs w:val="20"/>
              </w:rPr>
              <w:t>Taw</w:t>
            </w:r>
            <w:r w:rsidRPr="00B93166">
              <w:rPr>
                <w:rFonts w:ascii="Cambria" w:hAnsi="Cambria" w:cs="Cambria"/>
                <w:sz w:val="20"/>
                <w:szCs w:val="20"/>
              </w:rPr>
              <w:t>ḥ</w:t>
            </w:r>
            <w:r w:rsidRPr="00B93166">
              <w:rPr>
                <w:rFonts w:ascii="Book Antiqua" w:hAnsi="Book Antiqua"/>
                <w:sz w:val="20"/>
                <w:szCs w:val="20"/>
              </w:rPr>
              <w:t>īd, Khalīfah, Amānah, Mīzān, Isrāf, I</w:t>
            </w:r>
            <w:r w:rsidRPr="00B93166">
              <w:rPr>
                <w:rFonts w:ascii="Cambria" w:hAnsi="Cambria" w:cs="Cambria"/>
                <w:sz w:val="20"/>
                <w:szCs w:val="20"/>
              </w:rPr>
              <w:t>ḥ</w:t>
            </w:r>
            <w:r w:rsidRPr="00B93166">
              <w:rPr>
                <w:rFonts w:ascii="Book Antiqua" w:hAnsi="Book Antiqua"/>
                <w:sz w:val="20"/>
                <w:szCs w:val="20"/>
              </w:rPr>
              <w:t>sān, Ma</w:t>
            </w:r>
            <w:r w:rsidRPr="00B93166">
              <w:rPr>
                <w:rFonts w:ascii="Cambria" w:hAnsi="Cambria" w:cs="Cambria"/>
                <w:sz w:val="20"/>
                <w:szCs w:val="20"/>
              </w:rPr>
              <w:t>ṣ</w:t>
            </w:r>
            <w:r w:rsidRPr="00B93166">
              <w:rPr>
                <w:rFonts w:ascii="Book Antiqua" w:hAnsi="Book Antiqua"/>
                <w:sz w:val="20"/>
                <w:szCs w:val="20"/>
              </w:rPr>
              <w:t>la</w:t>
            </w:r>
            <w:r w:rsidRPr="00B93166">
              <w:rPr>
                <w:rFonts w:ascii="Cambria" w:hAnsi="Cambria" w:cs="Cambria"/>
                <w:sz w:val="20"/>
                <w:szCs w:val="20"/>
              </w:rPr>
              <w:t>ḥ</w:t>
            </w:r>
            <w:r w:rsidRPr="00B93166">
              <w:rPr>
                <w:rFonts w:ascii="Book Antiqua" w:hAnsi="Book Antiqua"/>
                <w:sz w:val="20"/>
                <w:szCs w:val="20"/>
              </w:rPr>
              <w:t>ah, Maqā</w:t>
            </w:r>
            <w:r w:rsidRPr="00B93166">
              <w:rPr>
                <w:rFonts w:ascii="Cambria" w:hAnsi="Cambria" w:cs="Cambria"/>
                <w:sz w:val="20"/>
                <w:szCs w:val="20"/>
              </w:rPr>
              <w:t>ṣ</w:t>
            </w:r>
            <w:r w:rsidRPr="00B93166">
              <w:rPr>
                <w:rFonts w:ascii="Book Antiqua" w:hAnsi="Book Antiqua"/>
                <w:sz w:val="20"/>
                <w:szCs w:val="20"/>
              </w:rPr>
              <w:t>id al-Sharī'ah</w:t>
            </w:r>
          </w:p>
        </w:tc>
        <w:tc>
          <w:tcPr>
            <w:tcW w:w="3587" w:type="dxa"/>
          </w:tcPr>
          <w:p w14:paraId="622D575E" w14:textId="77777777" w:rsidR="00B93166" w:rsidRPr="00B93166" w:rsidRDefault="00B93166" w:rsidP="00B93166">
            <w:pPr>
              <w:jc w:val="both"/>
              <w:rPr>
                <w:rFonts w:ascii="Book Antiqua" w:hAnsi="Book Antiqua" w:cs="Calibri"/>
                <w:sz w:val="20"/>
                <w:szCs w:val="20"/>
                <w:lang w:val="en-ID"/>
              </w:rPr>
            </w:pPr>
            <w:r w:rsidRPr="00B93166">
              <w:rPr>
                <w:rFonts w:ascii="Book Antiqua" w:hAnsi="Book Antiqua"/>
                <w:sz w:val="20"/>
                <w:szCs w:val="20"/>
              </w:rPr>
              <w:t>The Qur'an, Hadith, and Islamic economics literature</w:t>
            </w:r>
          </w:p>
        </w:tc>
      </w:tr>
      <w:tr w:rsidR="00B93166" w:rsidRPr="00B93166" w14:paraId="2F4E9858" w14:textId="77777777" w:rsidTr="005C12AE">
        <w:trPr>
          <w:jc w:val="center"/>
        </w:trPr>
        <w:tc>
          <w:tcPr>
            <w:tcW w:w="2254" w:type="dxa"/>
          </w:tcPr>
          <w:p w14:paraId="6BF655D2" w14:textId="77777777" w:rsidR="00B93166" w:rsidRPr="00B93166" w:rsidRDefault="00B93166" w:rsidP="00B93166">
            <w:pPr>
              <w:jc w:val="both"/>
              <w:rPr>
                <w:rFonts w:ascii="Book Antiqua" w:hAnsi="Book Antiqua" w:cs="Calibri"/>
                <w:sz w:val="20"/>
                <w:szCs w:val="20"/>
                <w:lang w:val="en-ID"/>
              </w:rPr>
            </w:pPr>
            <w:r w:rsidRPr="00B93166">
              <w:rPr>
                <w:rFonts w:ascii="Book Antiqua" w:hAnsi="Book Antiqua"/>
                <w:sz w:val="20"/>
                <w:szCs w:val="20"/>
              </w:rPr>
              <w:t>Sustainable Development</w:t>
            </w:r>
          </w:p>
        </w:tc>
        <w:tc>
          <w:tcPr>
            <w:tcW w:w="3231" w:type="dxa"/>
          </w:tcPr>
          <w:p w14:paraId="644747F5" w14:textId="77777777" w:rsidR="00B93166" w:rsidRPr="00B93166" w:rsidRDefault="00B93166" w:rsidP="00B93166">
            <w:pPr>
              <w:jc w:val="both"/>
              <w:rPr>
                <w:rFonts w:ascii="Book Antiqua" w:hAnsi="Book Antiqua" w:cs="Calibri"/>
                <w:sz w:val="20"/>
                <w:szCs w:val="20"/>
                <w:lang w:val="en-ID"/>
              </w:rPr>
            </w:pPr>
            <w:r w:rsidRPr="00B93166">
              <w:rPr>
                <w:rFonts w:ascii="Book Antiqua" w:hAnsi="Book Antiqua"/>
                <w:sz w:val="20"/>
                <w:szCs w:val="20"/>
              </w:rPr>
              <w:t>Economic, social, environmental, and intergenerational dimensions</w:t>
            </w:r>
          </w:p>
        </w:tc>
        <w:tc>
          <w:tcPr>
            <w:tcW w:w="3587" w:type="dxa"/>
          </w:tcPr>
          <w:p w14:paraId="1DA07253" w14:textId="77777777" w:rsidR="00B93166" w:rsidRPr="00B93166" w:rsidRDefault="00B93166" w:rsidP="00B93166">
            <w:pPr>
              <w:jc w:val="both"/>
              <w:rPr>
                <w:rFonts w:ascii="Book Antiqua" w:hAnsi="Book Antiqua" w:cs="Calibri"/>
                <w:sz w:val="20"/>
                <w:szCs w:val="20"/>
                <w:lang w:val="en-ID"/>
              </w:rPr>
            </w:pPr>
            <w:r w:rsidRPr="00B93166">
              <w:rPr>
                <w:rFonts w:ascii="Book Antiqua" w:hAnsi="Book Antiqua"/>
                <w:sz w:val="20"/>
                <w:szCs w:val="20"/>
              </w:rPr>
              <w:t>United Nations Sustainable Development Goals (SDGs), United Nations Environment Programme reports, World Bank publications</w:t>
            </w:r>
          </w:p>
        </w:tc>
      </w:tr>
      <w:tr w:rsidR="00B93166" w:rsidRPr="00B93166" w14:paraId="2AEA03E8" w14:textId="77777777" w:rsidTr="005C12AE">
        <w:trPr>
          <w:jc w:val="center"/>
        </w:trPr>
        <w:tc>
          <w:tcPr>
            <w:tcW w:w="2254" w:type="dxa"/>
          </w:tcPr>
          <w:p w14:paraId="753738AA" w14:textId="77777777" w:rsidR="00B93166" w:rsidRPr="00B93166" w:rsidRDefault="00B93166" w:rsidP="00B93166">
            <w:pPr>
              <w:jc w:val="both"/>
              <w:rPr>
                <w:rFonts w:ascii="Book Antiqua" w:hAnsi="Book Antiqua" w:cs="Calibri"/>
                <w:sz w:val="20"/>
                <w:szCs w:val="20"/>
                <w:lang w:val="en-ID"/>
              </w:rPr>
            </w:pPr>
            <w:r w:rsidRPr="00B93166">
              <w:rPr>
                <w:rFonts w:ascii="Book Antiqua" w:hAnsi="Book Antiqua"/>
                <w:sz w:val="20"/>
                <w:szCs w:val="20"/>
              </w:rPr>
              <w:lastRenderedPageBreak/>
              <w:t>Islamic Circular Economy</w:t>
            </w:r>
          </w:p>
        </w:tc>
        <w:tc>
          <w:tcPr>
            <w:tcW w:w="3231" w:type="dxa"/>
          </w:tcPr>
          <w:p w14:paraId="6285C3A6" w14:textId="77777777" w:rsidR="00B93166" w:rsidRPr="00B93166" w:rsidRDefault="00B93166" w:rsidP="00B93166">
            <w:pPr>
              <w:jc w:val="both"/>
              <w:rPr>
                <w:rFonts w:ascii="Book Antiqua" w:hAnsi="Book Antiqua" w:cs="Calibri"/>
                <w:sz w:val="20"/>
                <w:szCs w:val="20"/>
                <w:lang w:val="en-ID"/>
              </w:rPr>
            </w:pPr>
            <w:r w:rsidRPr="00B93166">
              <w:rPr>
                <w:rFonts w:ascii="Book Antiqua" w:hAnsi="Book Antiqua"/>
                <w:sz w:val="20"/>
                <w:szCs w:val="20"/>
              </w:rPr>
              <w:t>Integration of Circular Economy principles with Islamic values</w:t>
            </w:r>
          </w:p>
        </w:tc>
        <w:tc>
          <w:tcPr>
            <w:tcW w:w="3587" w:type="dxa"/>
          </w:tcPr>
          <w:p w14:paraId="40AF94BE" w14:textId="77777777" w:rsidR="00B93166" w:rsidRPr="00B93166" w:rsidRDefault="00B93166" w:rsidP="00B93166">
            <w:pPr>
              <w:jc w:val="both"/>
              <w:rPr>
                <w:rFonts w:ascii="Book Antiqua" w:hAnsi="Book Antiqua" w:cs="Calibri"/>
                <w:sz w:val="20"/>
                <w:szCs w:val="20"/>
                <w:lang w:val="en-ID"/>
              </w:rPr>
            </w:pPr>
            <w:r w:rsidRPr="00B93166">
              <w:rPr>
                <w:rFonts w:ascii="Book Antiqua" w:hAnsi="Book Antiqua"/>
                <w:sz w:val="20"/>
                <w:szCs w:val="20"/>
              </w:rPr>
              <w:t>Conceptual synthesis derived from qualitative analysis</w:t>
            </w:r>
          </w:p>
        </w:tc>
      </w:tr>
    </w:tbl>
    <w:p w14:paraId="3ECE030E" w14:textId="77777777" w:rsidR="00B93166" w:rsidRDefault="00B93166" w:rsidP="00B93166">
      <w:pPr>
        <w:rPr>
          <w:rFonts w:ascii="Book Antiqua" w:eastAsia="Book Antiqua" w:hAnsi="Book Antiqua" w:cs="Book Antiqua"/>
          <w:b/>
        </w:rPr>
      </w:pPr>
    </w:p>
    <w:p w14:paraId="0058129F" w14:textId="1C9658E6" w:rsidR="00B93166" w:rsidRPr="00B43211" w:rsidRDefault="00B93166" w:rsidP="00B93166">
      <w:pPr>
        <w:spacing w:line="276" w:lineRule="auto"/>
        <w:rPr>
          <w:rFonts w:ascii="Book Antiqua" w:eastAsia="Book Antiqua" w:hAnsi="Book Antiqua" w:cs="Book Antiqua"/>
          <w:b/>
        </w:rPr>
      </w:pPr>
      <w:r w:rsidRPr="00B43211">
        <w:rPr>
          <w:rFonts w:ascii="Book Antiqua" w:eastAsia="Book Antiqua" w:hAnsi="Book Antiqua" w:cs="Book Antiqua"/>
          <w:b/>
        </w:rPr>
        <w:t>Data Collection Technique</w:t>
      </w:r>
    </w:p>
    <w:p w14:paraId="4DCF0BC4" w14:textId="77777777" w:rsidR="00B93166" w:rsidRPr="00B43211" w:rsidRDefault="00B93166" w:rsidP="00B93166">
      <w:pPr>
        <w:spacing w:after="120" w:line="276" w:lineRule="auto"/>
        <w:ind w:firstLine="360"/>
        <w:jc w:val="both"/>
        <w:rPr>
          <w:rFonts w:ascii="Book Antiqua" w:eastAsia="Book Antiqua" w:hAnsi="Book Antiqua" w:cs="Book Antiqua"/>
          <w:bCs/>
        </w:rPr>
      </w:pPr>
      <w:r w:rsidRPr="00B43211">
        <w:rPr>
          <w:rFonts w:ascii="Book Antiqua" w:eastAsia="Book Antiqua" w:hAnsi="Book Antiqua" w:cs="Book Antiqua"/>
          <w:bCs/>
        </w:rPr>
        <w:t>Data were collected through systematic document analysis involving identification, screening, classification, and critical evaluation of documentary sources. The selection process emphasized three criteria: (1) relevance to the research objectives, (2) academic credibility, and (3) contribution to the conceptual development of ICE. The selected documents were subsequently organized into thematic categories to facilitate coherent qualitative interpretation.</w:t>
      </w:r>
    </w:p>
    <w:p w14:paraId="1B034C47" w14:textId="345B9660" w:rsidR="00B93166" w:rsidRDefault="00B93166" w:rsidP="00B93166">
      <w:pPr>
        <w:spacing w:line="276" w:lineRule="auto"/>
        <w:rPr>
          <w:rFonts w:ascii="Book Antiqua" w:eastAsia="Book Antiqua" w:hAnsi="Book Antiqua" w:cs="Book Antiqua"/>
          <w:b/>
        </w:rPr>
      </w:pPr>
      <w:r w:rsidRPr="008E7386">
        <w:rPr>
          <w:rFonts w:ascii="Book Antiqua" w:eastAsia="Book Antiqua" w:hAnsi="Book Antiqua" w:cs="Book Antiqua"/>
          <w:b/>
        </w:rPr>
        <w:t>Data Analysis Technique</w:t>
      </w:r>
    </w:p>
    <w:p w14:paraId="6891FB22" w14:textId="77777777" w:rsidR="00B93166" w:rsidRPr="00087D3B" w:rsidRDefault="00B93166" w:rsidP="00B93166">
      <w:pPr>
        <w:spacing w:line="276" w:lineRule="auto"/>
        <w:ind w:firstLine="360"/>
        <w:jc w:val="both"/>
        <w:rPr>
          <w:rFonts w:ascii="Book Antiqua" w:eastAsia="Book Antiqua" w:hAnsi="Book Antiqua" w:cs="Book Antiqua"/>
          <w:bCs/>
        </w:rPr>
      </w:pPr>
      <w:r w:rsidRPr="00087D3B">
        <w:rPr>
          <w:rFonts w:ascii="Book Antiqua" w:eastAsia="Book Antiqua" w:hAnsi="Book Antiqua" w:cs="Book Antiqua"/>
          <w:bCs/>
        </w:rPr>
        <w:t>The study combines Qualitative Content Analysis (QCA) and Thematic Analysis to examine the relationships among Islamic teachings, Circular Economy principles, and sustainable development. This integrated approach enables systematic interpretation of textual evidence while supporting inductive theory development.</w:t>
      </w:r>
    </w:p>
    <w:p w14:paraId="435C4229" w14:textId="77777777" w:rsidR="00B93166" w:rsidRDefault="00B93166" w:rsidP="00B93166">
      <w:pPr>
        <w:spacing w:after="120" w:line="276" w:lineRule="auto"/>
        <w:ind w:firstLine="360"/>
        <w:jc w:val="both"/>
        <w:rPr>
          <w:rFonts w:ascii="Book Antiqua" w:eastAsia="Book Antiqua" w:hAnsi="Book Antiqua" w:cs="Book Antiqua"/>
          <w:bCs/>
        </w:rPr>
      </w:pPr>
      <w:r w:rsidRPr="00087D3B">
        <w:rPr>
          <w:rFonts w:ascii="Book Antiqua" w:eastAsia="Book Antiqua" w:hAnsi="Book Antiqua" w:cs="Book Antiqua"/>
          <w:bCs/>
        </w:rPr>
        <w:t>The analytical procedure consisted of five stages. First, relevant Qur'anic verses, Hadith, and scholarly literature were selected through data reduction. Second, open coding identified recurring concepts related to environmental ethics, sustainability, resource efficiency, stewardship, and Islamic economic principles. Third, axial coding grouped these concepts into broader thematic categories representing the dimensions of ICE. Fourth, selective coding integrated the categories into a coherent conceptual framework illustrating the interaction between Islamic values and Circular Economy principles. Finally, conceptual interpretation compared the emerging framework with established CE and Sustainable Development theories to formulate a comprehensive Islamic Circular Economy model.</w:t>
      </w:r>
    </w:p>
    <w:p w14:paraId="4562ED92" w14:textId="40B5B3D1" w:rsidR="00B93166" w:rsidRPr="00572127" w:rsidRDefault="00B93166" w:rsidP="00B93166">
      <w:pPr>
        <w:spacing w:line="276" w:lineRule="auto"/>
        <w:jc w:val="both"/>
        <w:rPr>
          <w:rFonts w:ascii="Book Antiqua" w:eastAsia="Book Antiqua" w:hAnsi="Book Antiqua" w:cs="Book Antiqua"/>
          <w:b/>
        </w:rPr>
      </w:pPr>
      <w:r w:rsidRPr="00572127">
        <w:rPr>
          <w:rFonts w:ascii="Book Antiqua" w:eastAsia="Book Antiqua" w:hAnsi="Book Antiqua" w:cs="Book Antiqua"/>
          <w:b/>
        </w:rPr>
        <w:t>Trustworthiness of the Data</w:t>
      </w:r>
    </w:p>
    <w:p w14:paraId="4F54CE76" w14:textId="7B9C02F0" w:rsidR="004C2FE9" w:rsidRPr="00B93166" w:rsidRDefault="00B93166" w:rsidP="00B93166">
      <w:pPr>
        <w:spacing w:after="120" w:line="276" w:lineRule="auto"/>
        <w:ind w:firstLine="360"/>
        <w:jc w:val="both"/>
        <w:rPr>
          <w:rFonts w:ascii="Book Antiqua" w:eastAsia="Book Antiqua" w:hAnsi="Book Antiqua" w:cs="Book Antiqua"/>
          <w:bCs/>
        </w:rPr>
      </w:pPr>
      <w:r w:rsidRPr="009C0165">
        <w:rPr>
          <w:rFonts w:ascii="Book Antiqua" w:eastAsia="Book Antiqua" w:hAnsi="Book Antiqua" w:cs="Book Antiqua"/>
          <w:bCs/>
        </w:rPr>
        <w:t>The rigor of this study was enhanced through several validation strategies. Source triangulation compared evidence from the Qur'an, authentic Hadith, Islamic economics literature, and international sustainability publications to strengthen conceptual consistency. Peer debriefing involving experts in Islamic economics, sustainability, and qualitative research was employed to reduce interpretative bias. In addition, an audit trail documented coding decisions, analytical procedures, and conceptual development throughout the study, ensuring transparency and methodological dependability. Finally, theoretical validation was conducted by comparing the reconstructed framework with established Circular Economy and Sustainable Development theories, thereby improving the credibility and scholarly robustness of the proposed Islamic Circular</w:t>
      </w:r>
      <w:r>
        <w:rPr>
          <w:rFonts w:ascii="Book Antiqua" w:eastAsia="Book Antiqua" w:hAnsi="Book Antiqua" w:cs="Book Antiqua"/>
          <w:bCs/>
        </w:rPr>
        <w:t>.</w:t>
      </w:r>
    </w:p>
    <w:p w14:paraId="1A208E35" w14:textId="77777777" w:rsidR="001A7071" w:rsidRPr="00DA6F03" w:rsidRDefault="00000000" w:rsidP="009635F0">
      <w:pPr>
        <w:pStyle w:val="ListParagraph"/>
        <w:numPr>
          <w:ilvl w:val="0"/>
          <w:numId w:val="4"/>
        </w:numPr>
        <w:spacing w:after="0"/>
        <w:contextualSpacing w:val="0"/>
        <w:rPr>
          <w:rFonts w:ascii="Book Antiqua" w:eastAsia="Book Antiqua" w:hAnsi="Book Antiqua" w:cs="Book Antiqua"/>
          <w:b/>
          <w:sz w:val="20"/>
          <w:szCs w:val="20"/>
        </w:rPr>
      </w:pPr>
      <w:r w:rsidRPr="00DA6F03">
        <w:rPr>
          <w:rFonts w:ascii="Book Antiqua" w:eastAsia="Book Antiqua" w:hAnsi="Book Antiqua" w:cs="Book Antiqua"/>
          <w:b/>
          <w:sz w:val="20"/>
          <w:szCs w:val="20"/>
        </w:rPr>
        <w:t xml:space="preserve">RESULTS AND DISCUSSION </w:t>
      </w:r>
      <w:bookmarkStart w:id="2" w:name="_heading=h.3znysh7" w:colFirst="0" w:colLast="0"/>
      <w:bookmarkEnd w:id="2"/>
    </w:p>
    <w:p w14:paraId="2BD7B16A" w14:textId="77777777" w:rsidR="00B93166" w:rsidRPr="00B93166" w:rsidRDefault="00B93166" w:rsidP="00B93166">
      <w:pPr>
        <w:spacing w:line="276" w:lineRule="auto"/>
        <w:jc w:val="both"/>
        <w:rPr>
          <w:rFonts w:ascii="Book Antiqua" w:eastAsia="Book Antiqua" w:hAnsi="Book Antiqua" w:cs="Book Antiqua"/>
          <w:b/>
          <w:bCs/>
        </w:rPr>
      </w:pPr>
      <w:r w:rsidRPr="00B93166">
        <w:rPr>
          <w:rFonts w:ascii="Book Antiqua" w:eastAsia="Book Antiqua" w:hAnsi="Book Antiqua" w:cs="Book Antiqua"/>
          <w:b/>
          <w:bCs/>
        </w:rPr>
        <w:t>Result</w:t>
      </w:r>
    </w:p>
    <w:p w14:paraId="0CBDE8D5" w14:textId="5F56A76C" w:rsidR="00B93166" w:rsidRPr="00B93166" w:rsidRDefault="00B93166" w:rsidP="00B93166">
      <w:pPr>
        <w:spacing w:line="276" w:lineRule="auto"/>
        <w:jc w:val="both"/>
        <w:rPr>
          <w:rFonts w:ascii="Book Antiqua" w:eastAsia="Book Antiqua" w:hAnsi="Book Antiqua" w:cs="Book Antiqua"/>
        </w:rPr>
      </w:pPr>
      <w:r w:rsidRPr="00B93166">
        <w:rPr>
          <w:rFonts w:ascii="Book Antiqua" w:eastAsia="Book Antiqua" w:hAnsi="Book Antiqua" w:cs="Book Antiqua"/>
          <w:b/>
          <w:bCs/>
        </w:rPr>
        <w:t>Thematic Analysis of the Qur'an and Hadith as the Epistemological Foundation of the Islamic Circular</w:t>
      </w:r>
      <w:r>
        <w:rPr>
          <w:rFonts w:ascii="Book Antiqua" w:eastAsia="Book Antiqua" w:hAnsi="Book Antiqua" w:cs="Book Antiqua"/>
          <w:b/>
          <w:bCs/>
        </w:rPr>
        <w:t xml:space="preserve"> </w:t>
      </w:r>
      <w:r w:rsidRPr="00B93166">
        <w:rPr>
          <w:rFonts w:ascii="Book Antiqua" w:eastAsia="Book Antiqua" w:hAnsi="Book Antiqua" w:cs="Book Antiqua"/>
          <w:b/>
          <w:bCs/>
        </w:rPr>
        <w:t>Economy</w:t>
      </w:r>
    </w:p>
    <w:p w14:paraId="66F81434" w14:textId="07E60E94" w:rsidR="00B93166" w:rsidRPr="00B93166" w:rsidRDefault="00B93166" w:rsidP="00B93166">
      <w:pPr>
        <w:spacing w:after="120" w:line="276" w:lineRule="auto"/>
        <w:ind w:firstLine="360"/>
        <w:jc w:val="both"/>
        <w:rPr>
          <w:rFonts w:ascii="Book Antiqua" w:eastAsia="Book Antiqua" w:hAnsi="Book Antiqua" w:cs="Book Antiqua"/>
        </w:rPr>
      </w:pPr>
      <w:r w:rsidRPr="00B93166">
        <w:rPr>
          <w:rFonts w:ascii="Book Antiqua" w:eastAsia="Book Antiqua" w:hAnsi="Book Antiqua" w:cs="Book Antiqua"/>
        </w:rPr>
        <w:t>The thematic analysis demonstrates that the Islamic Circular Economy (ICE) is founded on a revelation-based epistemology derived from the Qur'an and the Sunnah, distinguishing it fundamentally from the conventional Circular Economy (CE), which is primarily informed by environmental economics, industrial ecology, and resource-efficiency theories (Geissdoerfer et al., 2017; Kirchherr et al., 2017). Within the Islamic worldview, taw</w:t>
      </w:r>
      <w:r w:rsidRPr="00B93166">
        <w:rPr>
          <w:rFonts w:ascii="Cambria" w:eastAsia="Book Antiqua" w:hAnsi="Cambria" w:cs="Cambria"/>
        </w:rPr>
        <w:t>ḥ</w:t>
      </w:r>
      <w:r w:rsidRPr="00B93166">
        <w:rPr>
          <w:rFonts w:ascii="Book Antiqua" w:eastAsia="Book Antiqua" w:hAnsi="Book Antiqua" w:cs="Book Antiqua"/>
        </w:rPr>
        <w:t xml:space="preserve">īd establishes Allah as the ultimate Owner of all resources, while humans are appointed as khalīfah entrusted with the ethical stewardship of the earth. Consequently, sustainability extends beyond economic performance to encompass spiritual accountability, ecological integrity, social justice, </w:t>
      </w:r>
      <w:r w:rsidRPr="00B93166">
        <w:rPr>
          <w:rFonts w:ascii="Book Antiqua" w:eastAsia="Book Antiqua" w:hAnsi="Book Antiqua" w:cs="Book Antiqua"/>
        </w:rPr>
        <w:lastRenderedPageBreak/>
        <w:t>and the realization of Maqā</w:t>
      </w:r>
      <w:r w:rsidRPr="00B93166">
        <w:rPr>
          <w:rFonts w:ascii="Cambria" w:eastAsia="Book Antiqua" w:hAnsi="Cambria" w:cs="Cambria"/>
        </w:rPr>
        <w:t>ṣ</w:t>
      </w:r>
      <w:r w:rsidRPr="00B93166">
        <w:rPr>
          <w:rFonts w:ascii="Book Antiqua" w:eastAsia="Book Antiqua" w:hAnsi="Book Antiqua" w:cs="Book Antiqua"/>
        </w:rPr>
        <w:t>id al-Sharī</w:t>
      </w:r>
      <w:r w:rsidRPr="00B93166">
        <w:rPr>
          <w:rFonts w:eastAsia="Book Antiqua"/>
        </w:rPr>
        <w:t>ʿ</w:t>
      </w:r>
      <w:r w:rsidRPr="00B93166">
        <w:rPr>
          <w:rFonts w:ascii="Book Antiqua" w:eastAsia="Book Antiqua" w:hAnsi="Book Antiqua" w:cs="Book Antiqua"/>
        </w:rPr>
        <w:t>ah. Grounded theory coding identified eight core concepts—taw</w:t>
      </w:r>
      <w:r w:rsidRPr="00B93166">
        <w:rPr>
          <w:rFonts w:ascii="Cambria" w:eastAsia="Book Antiqua" w:hAnsi="Cambria" w:cs="Cambria"/>
        </w:rPr>
        <w:t>ḥ</w:t>
      </w:r>
      <w:r w:rsidRPr="00B93166">
        <w:rPr>
          <w:rFonts w:ascii="Book Antiqua" w:eastAsia="Book Antiqua" w:hAnsi="Book Antiqua" w:cs="Book Antiqua"/>
        </w:rPr>
        <w:t>īd, khalīfah, amānah, mīzān, i</w:t>
      </w:r>
      <w:r w:rsidRPr="00B93166">
        <w:rPr>
          <w:rFonts w:ascii="Cambria" w:eastAsia="Book Antiqua" w:hAnsi="Cambria" w:cs="Cambria"/>
        </w:rPr>
        <w:t>ṣ</w:t>
      </w:r>
      <w:r w:rsidRPr="00B93166">
        <w:rPr>
          <w:rFonts w:ascii="Book Antiqua" w:eastAsia="Book Antiqua" w:hAnsi="Book Antiqua" w:cs="Book Antiqua"/>
        </w:rPr>
        <w:t>lā</w:t>
      </w:r>
      <w:r w:rsidRPr="00B93166">
        <w:rPr>
          <w:rFonts w:ascii="Cambria" w:eastAsia="Book Antiqua" w:hAnsi="Cambria" w:cs="Cambria"/>
        </w:rPr>
        <w:t>ḥ</w:t>
      </w:r>
      <w:r w:rsidRPr="00B93166">
        <w:rPr>
          <w:rFonts w:ascii="Book Antiqua" w:eastAsia="Book Antiqua" w:hAnsi="Book Antiqua" w:cs="Book Antiqua"/>
        </w:rPr>
        <w:t>, i</w:t>
      </w:r>
      <w:r w:rsidRPr="00B93166">
        <w:rPr>
          <w:rFonts w:ascii="Cambria" w:eastAsia="Book Antiqua" w:hAnsi="Cambria" w:cs="Cambria"/>
        </w:rPr>
        <w:t>ḥ</w:t>
      </w:r>
      <w:r w:rsidRPr="00B93166">
        <w:rPr>
          <w:rFonts w:ascii="Book Antiqua" w:eastAsia="Book Antiqua" w:hAnsi="Book Antiqua" w:cs="Book Antiqua"/>
        </w:rPr>
        <w:t>sān, isrāf, and ma</w:t>
      </w:r>
      <w:r w:rsidRPr="00B93166">
        <w:rPr>
          <w:rFonts w:ascii="Cambria" w:eastAsia="Book Antiqua" w:hAnsi="Cambria" w:cs="Cambria"/>
        </w:rPr>
        <w:t>ṣ</w:t>
      </w:r>
      <w:r w:rsidRPr="00B93166">
        <w:rPr>
          <w:rFonts w:ascii="Book Antiqua" w:eastAsia="Book Antiqua" w:hAnsi="Book Antiqua" w:cs="Book Antiqua"/>
        </w:rPr>
        <w:t>la</w:t>
      </w:r>
      <w:r w:rsidRPr="00B93166">
        <w:rPr>
          <w:rFonts w:ascii="Cambria" w:eastAsia="Book Antiqua" w:hAnsi="Cambria" w:cs="Cambria"/>
        </w:rPr>
        <w:t>ḥ</w:t>
      </w:r>
      <w:r w:rsidRPr="00B93166">
        <w:rPr>
          <w:rFonts w:ascii="Book Antiqua" w:eastAsia="Book Antiqua" w:hAnsi="Book Antiqua" w:cs="Book Antiqua"/>
        </w:rPr>
        <w:t>ah—which were subsequently synthesized into three interconnected dimensions: the relationship between humans and Allah, among human beings, and with nature. Qur'anic principles prohibiting environmental degradation (Qur'an 7:56), emphasizing ecological balance (Qur'an 55:7–9), affirming human stewardship (Qur'an 2:30), and condemning wastefulness (Qur'an 7:31), together with Prophetic traditions encouraging tree planting (</w:t>
      </w:r>
      <w:r w:rsidRPr="00B93166">
        <w:rPr>
          <w:rFonts w:ascii="Cambria" w:eastAsia="Book Antiqua" w:hAnsi="Cambria" w:cs="Cambria"/>
        </w:rPr>
        <w:t>Ṣ</w:t>
      </w:r>
      <w:r w:rsidRPr="00B93166">
        <w:rPr>
          <w:rFonts w:ascii="Book Antiqua" w:eastAsia="Book Antiqua" w:hAnsi="Book Antiqua" w:cs="Book Antiqua"/>
        </w:rPr>
        <w:t>a</w:t>
      </w:r>
      <w:r w:rsidRPr="00B93166">
        <w:rPr>
          <w:rFonts w:ascii="Cambria" w:eastAsia="Book Antiqua" w:hAnsi="Cambria" w:cs="Cambria"/>
        </w:rPr>
        <w:t>ḥ</w:t>
      </w:r>
      <w:r w:rsidRPr="00B93166">
        <w:rPr>
          <w:rFonts w:ascii="Book Antiqua" w:eastAsia="Book Antiqua" w:hAnsi="Book Antiqua" w:cs="Book Antiqua"/>
        </w:rPr>
        <w:t>ī</w:t>
      </w:r>
      <w:r w:rsidRPr="00B93166">
        <w:rPr>
          <w:rFonts w:ascii="Cambria" w:eastAsia="Book Antiqua" w:hAnsi="Cambria" w:cs="Cambria"/>
        </w:rPr>
        <w:t>ḥ</w:t>
      </w:r>
      <w:r w:rsidRPr="00B93166">
        <w:rPr>
          <w:rFonts w:ascii="Book Antiqua" w:eastAsia="Book Antiqua" w:hAnsi="Book Antiqua" w:cs="Book Antiqua"/>
        </w:rPr>
        <w:t xml:space="preserve"> al-Bukhārī No. 2320; </w:t>
      </w:r>
      <w:r w:rsidRPr="00B93166">
        <w:rPr>
          <w:rFonts w:ascii="Cambria" w:eastAsia="Book Antiqua" w:hAnsi="Cambria" w:cs="Cambria"/>
        </w:rPr>
        <w:t>Ṣ</w:t>
      </w:r>
      <w:r w:rsidRPr="00B93166">
        <w:rPr>
          <w:rFonts w:ascii="Book Antiqua" w:eastAsia="Book Antiqua" w:hAnsi="Book Antiqua" w:cs="Book Antiqua"/>
        </w:rPr>
        <w:t>a</w:t>
      </w:r>
      <w:r w:rsidRPr="00B93166">
        <w:rPr>
          <w:rFonts w:ascii="Cambria" w:eastAsia="Book Antiqua" w:hAnsi="Cambria" w:cs="Cambria"/>
        </w:rPr>
        <w:t>ḥ</w:t>
      </w:r>
      <w:r w:rsidRPr="00B93166">
        <w:rPr>
          <w:rFonts w:ascii="Book Antiqua" w:eastAsia="Book Antiqua" w:hAnsi="Book Antiqua" w:cs="Book Antiqua"/>
        </w:rPr>
        <w:t>ī</w:t>
      </w:r>
      <w:r w:rsidRPr="00B93166">
        <w:rPr>
          <w:rFonts w:ascii="Cambria" w:eastAsia="Book Antiqua" w:hAnsi="Cambria" w:cs="Cambria"/>
        </w:rPr>
        <w:t>ḥ</w:t>
      </w:r>
      <w:r w:rsidRPr="00B93166">
        <w:rPr>
          <w:rFonts w:ascii="Book Antiqua" w:eastAsia="Book Antiqua" w:hAnsi="Book Antiqua" w:cs="Book Antiqua"/>
        </w:rPr>
        <w:t xml:space="preserve"> Muslim No. 1553) and water conservation (Sunan Ibn Mājah No. 425), establish an integrated ethical framework for sustainable resource management. Selective coding further reveals that circular strategies reduce, reuse, recycle, recover, and regenerate represent not merely technical mechanisms but practical manifestations of taw</w:t>
      </w:r>
      <w:r w:rsidRPr="00B93166">
        <w:rPr>
          <w:rFonts w:ascii="Cambria" w:eastAsia="Book Antiqua" w:hAnsi="Cambria" w:cs="Cambria"/>
        </w:rPr>
        <w:t>ḥ</w:t>
      </w:r>
      <w:r w:rsidRPr="00B93166">
        <w:rPr>
          <w:rFonts w:ascii="Book Antiqua" w:eastAsia="Book Antiqua" w:hAnsi="Book Antiqua" w:cs="Book Antiqua"/>
        </w:rPr>
        <w:t>īd, amānah, mīzān, and ma</w:t>
      </w:r>
      <w:r w:rsidRPr="00B93166">
        <w:rPr>
          <w:rFonts w:ascii="Cambria" w:eastAsia="Book Antiqua" w:hAnsi="Cambria" w:cs="Cambria"/>
        </w:rPr>
        <w:t>ṣ</w:t>
      </w:r>
      <w:r w:rsidRPr="00B93166">
        <w:rPr>
          <w:rFonts w:ascii="Book Antiqua" w:eastAsia="Book Antiqua" w:hAnsi="Book Antiqua" w:cs="Book Antiqua"/>
        </w:rPr>
        <w:t>la</w:t>
      </w:r>
      <w:r w:rsidRPr="00B93166">
        <w:rPr>
          <w:rFonts w:ascii="Cambria" w:eastAsia="Book Antiqua" w:hAnsi="Cambria" w:cs="Cambria"/>
        </w:rPr>
        <w:t>ḥ</w:t>
      </w:r>
      <w:r w:rsidRPr="00B93166">
        <w:rPr>
          <w:rFonts w:ascii="Book Antiqua" w:eastAsia="Book Antiqua" w:hAnsi="Book Antiqua" w:cs="Book Antiqua"/>
        </w:rPr>
        <w:t>ah. Accordingly, ICE emerges as a distinct Sharī</w:t>
      </w:r>
      <w:r w:rsidRPr="00B93166">
        <w:rPr>
          <w:rFonts w:eastAsia="Book Antiqua"/>
        </w:rPr>
        <w:t>ʿ</w:t>
      </w:r>
      <w:r w:rsidRPr="00B93166">
        <w:rPr>
          <w:rFonts w:ascii="Book Antiqua" w:eastAsia="Book Antiqua" w:hAnsi="Book Antiqua" w:cs="Book Antiqua"/>
        </w:rPr>
        <w:t>ah-based sustainability paradigm that integrates theological, ethical, economic, social, and environmental dimensions to advance ecological resilience, social equity, and long-term human well-being.</w:t>
      </w:r>
    </w:p>
    <w:p w14:paraId="562BFA69" w14:textId="77777777" w:rsidR="00B93166" w:rsidRPr="00B93166" w:rsidRDefault="00B93166" w:rsidP="00B93166">
      <w:pPr>
        <w:spacing w:line="276" w:lineRule="auto"/>
        <w:jc w:val="center"/>
        <w:rPr>
          <w:rFonts w:ascii="Book Antiqua" w:eastAsia="Book Antiqua" w:hAnsi="Book Antiqua" w:cs="Book Antiqua"/>
        </w:rPr>
      </w:pPr>
      <w:r w:rsidRPr="00B93166">
        <w:rPr>
          <w:rFonts w:ascii="Book Antiqua" w:eastAsia="Book Antiqua" w:hAnsi="Book Antiqua" w:cs="Book Antiqua"/>
        </w:rPr>
        <w:t xml:space="preserve">Table 1. Thematic Analysis of the Qur'an and Hadith as the Epistemological Foundation of </w:t>
      </w:r>
    </w:p>
    <w:p w14:paraId="70328115" w14:textId="77777777" w:rsidR="00B93166" w:rsidRPr="00B93166" w:rsidRDefault="00B93166" w:rsidP="00B93166">
      <w:pPr>
        <w:spacing w:line="276" w:lineRule="auto"/>
        <w:jc w:val="center"/>
        <w:rPr>
          <w:rFonts w:ascii="Book Antiqua" w:eastAsia="Book Antiqua" w:hAnsi="Book Antiqua" w:cs="Book Antiqua"/>
        </w:rPr>
      </w:pPr>
      <w:r w:rsidRPr="00B93166">
        <w:rPr>
          <w:rFonts w:ascii="Book Antiqua" w:eastAsia="Book Antiqua" w:hAnsi="Book Antiqua" w:cs="Book Antiqua"/>
        </w:rPr>
        <w:t>the Islamic Circular Economy</w:t>
      </w:r>
    </w:p>
    <w:tbl>
      <w:tblPr>
        <w:tblStyle w:val="TableGrid2"/>
        <w:tblW w:w="8995" w:type="dxa"/>
        <w:jc w:val="center"/>
        <w:tblLook w:val="04A0" w:firstRow="1" w:lastRow="0" w:firstColumn="1" w:lastColumn="0" w:noHBand="0" w:noVBand="1"/>
      </w:tblPr>
      <w:tblGrid>
        <w:gridCol w:w="1543"/>
        <w:gridCol w:w="1746"/>
        <w:gridCol w:w="1709"/>
        <w:gridCol w:w="3997"/>
      </w:tblGrid>
      <w:tr w:rsidR="00B93166" w:rsidRPr="00B93166" w14:paraId="2AC9272A" w14:textId="77777777" w:rsidTr="00A750D4">
        <w:trPr>
          <w:jc w:val="center"/>
        </w:trPr>
        <w:tc>
          <w:tcPr>
            <w:tcW w:w="1385" w:type="dxa"/>
            <w:vAlign w:val="center"/>
          </w:tcPr>
          <w:p w14:paraId="5C8EF4E5" w14:textId="77777777" w:rsidR="00B93166" w:rsidRPr="00B93166" w:rsidRDefault="00B93166" w:rsidP="00A750D4">
            <w:pPr>
              <w:jc w:val="center"/>
              <w:rPr>
                <w:rFonts w:ascii="Book Antiqua" w:hAnsi="Book Antiqua" w:cs="Calibri"/>
                <w:sz w:val="20"/>
                <w:szCs w:val="20"/>
                <w:lang w:val="en-ID"/>
              </w:rPr>
            </w:pPr>
            <w:r w:rsidRPr="00B93166">
              <w:rPr>
                <w:rFonts w:ascii="Book Antiqua" w:hAnsi="Book Antiqua" w:cs="Times New Roman"/>
                <w:b/>
                <w:bCs/>
                <w:sz w:val="20"/>
                <w:szCs w:val="20"/>
                <w:lang w:val="en-ID"/>
              </w:rPr>
              <w:t>Theme</w:t>
            </w:r>
          </w:p>
        </w:tc>
        <w:tc>
          <w:tcPr>
            <w:tcW w:w="1760" w:type="dxa"/>
            <w:vAlign w:val="center"/>
          </w:tcPr>
          <w:p w14:paraId="7355CF2D" w14:textId="77777777" w:rsidR="00B93166" w:rsidRPr="00B93166" w:rsidRDefault="00B93166" w:rsidP="00A750D4">
            <w:pPr>
              <w:jc w:val="center"/>
              <w:rPr>
                <w:rFonts w:ascii="Book Antiqua" w:hAnsi="Book Antiqua" w:cs="Calibri"/>
                <w:sz w:val="20"/>
                <w:szCs w:val="20"/>
                <w:lang w:val="en-ID"/>
              </w:rPr>
            </w:pPr>
            <w:r w:rsidRPr="00B93166">
              <w:rPr>
                <w:rFonts w:ascii="Book Antiqua" w:hAnsi="Book Antiqua" w:cs="Times New Roman"/>
                <w:b/>
                <w:bCs/>
                <w:sz w:val="20"/>
                <w:szCs w:val="20"/>
                <w:lang w:val="en-ID"/>
              </w:rPr>
              <w:t>Category</w:t>
            </w:r>
          </w:p>
        </w:tc>
        <w:tc>
          <w:tcPr>
            <w:tcW w:w="1685" w:type="dxa"/>
            <w:vAlign w:val="center"/>
          </w:tcPr>
          <w:p w14:paraId="3DF9F752" w14:textId="77777777" w:rsidR="00B93166" w:rsidRPr="00B93166" w:rsidRDefault="00B93166" w:rsidP="00A750D4">
            <w:pPr>
              <w:jc w:val="center"/>
              <w:rPr>
                <w:rFonts w:ascii="Book Antiqua" w:hAnsi="Book Antiqua" w:cs="Calibri"/>
                <w:sz w:val="20"/>
                <w:szCs w:val="20"/>
                <w:lang w:val="en-ID"/>
              </w:rPr>
            </w:pPr>
            <w:r w:rsidRPr="00B93166">
              <w:rPr>
                <w:rFonts w:ascii="Book Antiqua" w:hAnsi="Book Antiqua" w:cs="Times New Roman"/>
                <w:b/>
                <w:bCs/>
                <w:sz w:val="20"/>
                <w:szCs w:val="20"/>
                <w:lang w:val="en-ID"/>
              </w:rPr>
              <w:t>Qur'anic/Hadith Evidence</w:t>
            </w:r>
          </w:p>
        </w:tc>
        <w:tc>
          <w:tcPr>
            <w:tcW w:w="4165" w:type="dxa"/>
            <w:vAlign w:val="center"/>
          </w:tcPr>
          <w:p w14:paraId="3991D5F0" w14:textId="77777777" w:rsidR="00B93166" w:rsidRPr="00B93166" w:rsidRDefault="00B93166" w:rsidP="00A750D4">
            <w:pPr>
              <w:jc w:val="center"/>
              <w:rPr>
                <w:rFonts w:ascii="Book Antiqua" w:hAnsi="Book Antiqua" w:cs="Calibri"/>
                <w:sz w:val="20"/>
                <w:szCs w:val="20"/>
                <w:lang w:val="en-ID"/>
              </w:rPr>
            </w:pPr>
            <w:r w:rsidRPr="00B93166">
              <w:rPr>
                <w:rFonts w:ascii="Book Antiqua" w:hAnsi="Book Antiqua" w:cs="Times New Roman"/>
                <w:b/>
                <w:bCs/>
                <w:sz w:val="20"/>
                <w:szCs w:val="20"/>
                <w:lang w:val="en-ID"/>
              </w:rPr>
              <w:t>Conceptual Meaning</w:t>
            </w:r>
          </w:p>
        </w:tc>
      </w:tr>
      <w:tr w:rsidR="00B93166" w:rsidRPr="00B93166" w14:paraId="03A4FC5A" w14:textId="77777777" w:rsidTr="00A750D4">
        <w:trPr>
          <w:jc w:val="center"/>
        </w:trPr>
        <w:tc>
          <w:tcPr>
            <w:tcW w:w="1385" w:type="dxa"/>
          </w:tcPr>
          <w:p w14:paraId="01F03AF9"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sz w:val="20"/>
                <w:szCs w:val="20"/>
              </w:rPr>
              <w:t>Taw</w:t>
            </w:r>
            <w:r w:rsidRPr="00B93166">
              <w:rPr>
                <w:rFonts w:ascii="Cambria" w:hAnsi="Cambria" w:cs="Cambria"/>
                <w:sz w:val="20"/>
                <w:szCs w:val="20"/>
              </w:rPr>
              <w:t>ḥ</w:t>
            </w:r>
            <w:r w:rsidRPr="00B93166">
              <w:rPr>
                <w:rFonts w:ascii="Book Antiqua" w:hAnsi="Book Antiqua"/>
                <w:sz w:val="20"/>
                <w:szCs w:val="20"/>
              </w:rPr>
              <w:t>īd</w:t>
            </w:r>
          </w:p>
        </w:tc>
        <w:tc>
          <w:tcPr>
            <w:tcW w:w="1760" w:type="dxa"/>
          </w:tcPr>
          <w:p w14:paraId="78130538"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sz w:val="20"/>
                <w:szCs w:val="20"/>
              </w:rPr>
              <w:t>Divine ownership</w:t>
            </w:r>
          </w:p>
        </w:tc>
        <w:tc>
          <w:tcPr>
            <w:tcW w:w="1685" w:type="dxa"/>
          </w:tcPr>
          <w:p w14:paraId="0CBC4057"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sz w:val="20"/>
                <w:szCs w:val="20"/>
              </w:rPr>
              <w:t>Qur'an 67:15</w:t>
            </w:r>
          </w:p>
        </w:tc>
        <w:tc>
          <w:tcPr>
            <w:tcW w:w="4165" w:type="dxa"/>
          </w:tcPr>
          <w:p w14:paraId="2CFD11EA"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sz w:val="20"/>
                <w:szCs w:val="20"/>
              </w:rPr>
              <w:t>Natural resources are divine trusts to be managed responsibly.</w:t>
            </w:r>
          </w:p>
        </w:tc>
      </w:tr>
      <w:tr w:rsidR="00B93166" w:rsidRPr="00B93166" w14:paraId="5B274E2A" w14:textId="77777777" w:rsidTr="00A750D4">
        <w:trPr>
          <w:jc w:val="center"/>
        </w:trPr>
        <w:tc>
          <w:tcPr>
            <w:tcW w:w="1385" w:type="dxa"/>
          </w:tcPr>
          <w:p w14:paraId="6B71C0F7"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sz w:val="20"/>
                <w:szCs w:val="20"/>
              </w:rPr>
              <w:t>Khalīfah</w:t>
            </w:r>
          </w:p>
        </w:tc>
        <w:tc>
          <w:tcPr>
            <w:tcW w:w="1760" w:type="dxa"/>
          </w:tcPr>
          <w:p w14:paraId="0604AD62"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sz w:val="20"/>
                <w:szCs w:val="20"/>
              </w:rPr>
              <w:t>Human stewardship</w:t>
            </w:r>
          </w:p>
        </w:tc>
        <w:tc>
          <w:tcPr>
            <w:tcW w:w="1685" w:type="dxa"/>
          </w:tcPr>
          <w:p w14:paraId="7C7C4092"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sz w:val="20"/>
                <w:szCs w:val="20"/>
              </w:rPr>
              <w:t>Qur'an 2:30</w:t>
            </w:r>
          </w:p>
        </w:tc>
        <w:tc>
          <w:tcPr>
            <w:tcW w:w="4165" w:type="dxa"/>
          </w:tcPr>
          <w:p w14:paraId="45C6152E"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sz w:val="20"/>
                <w:szCs w:val="20"/>
              </w:rPr>
              <w:t>Humans are entrusted with protecting and developing the earth.</w:t>
            </w:r>
          </w:p>
        </w:tc>
      </w:tr>
      <w:tr w:rsidR="00B93166" w:rsidRPr="00B93166" w14:paraId="4D24543F" w14:textId="77777777" w:rsidTr="00A750D4">
        <w:trPr>
          <w:jc w:val="center"/>
        </w:trPr>
        <w:tc>
          <w:tcPr>
            <w:tcW w:w="1385" w:type="dxa"/>
          </w:tcPr>
          <w:p w14:paraId="0DEE93E7"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sz w:val="20"/>
                <w:szCs w:val="20"/>
              </w:rPr>
              <w:t>Mīzān</w:t>
            </w:r>
          </w:p>
        </w:tc>
        <w:tc>
          <w:tcPr>
            <w:tcW w:w="1760" w:type="dxa"/>
          </w:tcPr>
          <w:p w14:paraId="14ACB4F3"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sz w:val="20"/>
                <w:szCs w:val="20"/>
              </w:rPr>
              <w:t>Ecological balance</w:t>
            </w:r>
          </w:p>
        </w:tc>
        <w:tc>
          <w:tcPr>
            <w:tcW w:w="1685" w:type="dxa"/>
          </w:tcPr>
          <w:p w14:paraId="40A69250"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sz w:val="20"/>
                <w:szCs w:val="20"/>
              </w:rPr>
              <w:t>Qur'an 55:7–9</w:t>
            </w:r>
          </w:p>
        </w:tc>
        <w:tc>
          <w:tcPr>
            <w:tcW w:w="4165" w:type="dxa"/>
          </w:tcPr>
          <w:p w14:paraId="5147DE34"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sz w:val="20"/>
                <w:szCs w:val="20"/>
              </w:rPr>
              <w:t>Resource utilization should preserve environmental equilibrium.</w:t>
            </w:r>
          </w:p>
        </w:tc>
      </w:tr>
      <w:tr w:rsidR="00B93166" w:rsidRPr="00B93166" w14:paraId="1FABA93F" w14:textId="77777777" w:rsidTr="00A750D4">
        <w:trPr>
          <w:jc w:val="center"/>
        </w:trPr>
        <w:tc>
          <w:tcPr>
            <w:tcW w:w="1385" w:type="dxa"/>
          </w:tcPr>
          <w:p w14:paraId="05C0C92F"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sz w:val="20"/>
                <w:szCs w:val="20"/>
              </w:rPr>
              <w:t>Prohibition of Isrāf</w:t>
            </w:r>
          </w:p>
        </w:tc>
        <w:tc>
          <w:tcPr>
            <w:tcW w:w="1760" w:type="dxa"/>
          </w:tcPr>
          <w:p w14:paraId="4FF2D0D0"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sz w:val="20"/>
                <w:szCs w:val="20"/>
              </w:rPr>
              <w:t>Resource efficiency</w:t>
            </w:r>
          </w:p>
        </w:tc>
        <w:tc>
          <w:tcPr>
            <w:tcW w:w="1685" w:type="dxa"/>
          </w:tcPr>
          <w:p w14:paraId="31419301"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sz w:val="20"/>
                <w:szCs w:val="20"/>
              </w:rPr>
              <w:t>Qur'an 7:31</w:t>
            </w:r>
          </w:p>
        </w:tc>
        <w:tc>
          <w:tcPr>
            <w:tcW w:w="4165" w:type="dxa"/>
          </w:tcPr>
          <w:p w14:paraId="3BB1663B"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sz w:val="20"/>
                <w:szCs w:val="20"/>
              </w:rPr>
              <w:t>Wasteful consumption contradicts sustainability principles.</w:t>
            </w:r>
          </w:p>
        </w:tc>
      </w:tr>
      <w:tr w:rsidR="00B93166" w:rsidRPr="00B93166" w14:paraId="71FC5A0E" w14:textId="77777777" w:rsidTr="00A750D4">
        <w:trPr>
          <w:jc w:val="center"/>
        </w:trPr>
        <w:tc>
          <w:tcPr>
            <w:tcW w:w="1385" w:type="dxa"/>
          </w:tcPr>
          <w:p w14:paraId="17889820"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sz w:val="20"/>
                <w:szCs w:val="20"/>
              </w:rPr>
              <w:t>I</w:t>
            </w:r>
            <w:r w:rsidRPr="00B93166">
              <w:rPr>
                <w:rFonts w:ascii="Cambria" w:hAnsi="Cambria" w:cs="Cambria"/>
                <w:sz w:val="20"/>
                <w:szCs w:val="20"/>
              </w:rPr>
              <w:t>ṣ</w:t>
            </w:r>
            <w:r w:rsidRPr="00B93166">
              <w:rPr>
                <w:rFonts w:ascii="Book Antiqua" w:hAnsi="Book Antiqua"/>
                <w:sz w:val="20"/>
                <w:szCs w:val="20"/>
              </w:rPr>
              <w:t>lā</w:t>
            </w:r>
            <w:r w:rsidRPr="00B93166">
              <w:rPr>
                <w:rFonts w:ascii="Cambria" w:hAnsi="Cambria" w:cs="Cambria"/>
                <w:sz w:val="20"/>
                <w:szCs w:val="20"/>
              </w:rPr>
              <w:t>ḥ</w:t>
            </w:r>
          </w:p>
        </w:tc>
        <w:tc>
          <w:tcPr>
            <w:tcW w:w="1760" w:type="dxa"/>
          </w:tcPr>
          <w:p w14:paraId="6E40CCFA"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sz w:val="20"/>
                <w:szCs w:val="20"/>
              </w:rPr>
              <w:t>Environmental restoration</w:t>
            </w:r>
          </w:p>
        </w:tc>
        <w:tc>
          <w:tcPr>
            <w:tcW w:w="1685" w:type="dxa"/>
          </w:tcPr>
          <w:p w14:paraId="47048C5B"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sz w:val="20"/>
                <w:szCs w:val="20"/>
              </w:rPr>
              <w:t>Qur'an 7:56</w:t>
            </w:r>
          </w:p>
        </w:tc>
        <w:tc>
          <w:tcPr>
            <w:tcW w:w="4165" w:type="dxa"/>
          </w:tcPr>
          <w:p w14:paraId="14894A84"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sz w:val="20"/>
                <w:szCs w:val="20"/>
              </w:rPr>
              <w:t>Humans are prohibited from causing environmental degradation.</w:t>
            </w:r>
          </w:p>
        </w:tc>
      </w:tr>
      <w:tr w:rsidR="00B93166" w:rsidRPr="00B93166" w14:paraId="5EF83325" w14:textId="77777777" w:rsidTr="00A750D4">
        <w:trPr>
          <w:jc w:val="center"/>
        </w:trPr>
        <w:tc>
          <w:tcPr>
            <w:tcW w:w="1385" w:type="dxa"/>
          </w:tcPr>
          <w:p w14:paraId="7917BC73"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sz w:val="20"/>
                <w:szCs w:val="20"/>
              </w:rPr>
              <w:t>Environmental conservation</w:t>
            </w:r>
          </w:p>
        </w:tc>
        <w:tc>
          <w:tcPr>
            <w:tcW w:w="1760" w:type="dxa"/>
          </w:tcPr>
          <w:p w14:paraId="1EA5813D"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sz w:val="20"/>
                <w:szCs w:val="20"/>
              </w:rPr>
              <w:t>Tree planting</w:t>
            </w:r>
          </w:p>
        </w:tc>
        <w:tc>
          <w:tcPr>
            <w:tcW w:w="1685" w:type="dxa"/>
          </w:tcPr>
          <w:p w14:paraId="4E5BC592" w14:textId="77777777" w:rsidR="00B93166" w:rsidRPr="00B93166" w:rsidRDefault="00B93166" w:rsidP="00A750D4">
            <w:pPr>
              <w:jc w:val="both"/>
              <w:rPr>
                <w:rFonts w:ascii="Book Antiqua" w:hAnsi="Book Antiqua" w:cs="Calibri"/>
                <w:sz w:val="20"/>
                <w:szCs w:val="20"/>
                <w:lang w:val="en-ID"/>
              </w:rPr>
            </w:pPr>
            <w:r w:rsidRPr="00B93166">
              <w:rPr>
                <w:rFonts w:ascii="Cambria" w:hAnsi="Cambria" w:cs="Cambria"/>
                <w:sz w:val="20"/>
                <w:szCs w:val="20"/>
              </w:rPr>
              <w:t>Ṣ</w:t>
            </w:r>
            <w:r w:rsidRPr="00B93166">
              <w:rPr>
                <w:rFonts w:ascii="Book Antiqua" w:hAnsi="Book Antiqua"/>
                <w:sz w:val="20"/>
                <w:szCs w:val="20"/>
              </w:rPr>
              <w:t>a</w:t>
            </w:r>
            <w:r w:rsidRPr="00B93166">
              <w:rPr>
                <w:rFonts w:ascii="Cambria" w:hAnsi="Cambria" w:cs="Cambria"/>
                <w:sz w:val="20"/>
                <w:szCs w:val="20"/>
              </w:rPr>
              <w:t>ḥ</w:t>
            </w:r>
            <w:r w:rsidRPr="00B93166">
              <w:rPr>
                <w:rFonts w:ascii="Book Antiqua" w:hAnsi="Book Antiqua"/>
                <w:sz w:val="20"/>
                <w:szCs w:val="20"/>
              </w:rPr>
              <w:t>ī</w:t>
            </w:r>
            <w:r w:rsidRPr="00B93166">
              <w:rPr>
                <w:rFonts w:ascii="Cambria" w:hAnsi="Cambria" w:cs="Cambria"/>
                <w:sz w:val="20"/>
                <w:szCs w:val="20"/>
              </w:rPr>
              <w:t>ḥ</w:t>
            </w:r>
            <w:r w:rsidRPr="00B93166">
              <w:rPr>
                <w:rFonts w:ascii="Book Antiqua" w:hAnsi="Book Antiqua"/>
                <w:sz w:val="20"/>
                <w:szCs w:val="20"/>
              </w:rPr>
              <w:t xml:space="preserve"> al-Bukhārī; </w:t>
            </w:r>
            <w:r w:rsidRPr="00B93166">
              <w:rPr>
                <w:rFonts w:ascii="Cambria" w:hAnsi="Cambria" w:cs="Cambria"/>
                <w:sz w:val="20"/>
                <w:szCs w:val="20"/>
              </w:rPr>
              <w:t>Ṣ</w:t>
            </w:r>
            <w:r w:rsidRPr="00B93166">
              <w:rPr>
                <w:rFonts w:ascii="Book Antiqua" w:hAnsi="Book Antiqua"/>
                <w:sz w:val="20"/>
                <w:szCs w:val="20"/>
              </w:rPr>
              <w:t>a</w:t>
            </w:r>
            <w:r w:rsidRPr="00B93166">
              <w:rPr>
                <w:rFonts w:ascii="Cambria" w:hAnsi="Cambria" w:cs="Cambria"/>
                <w:sz w:val="20"/>
                <w:szCs w:val="20"/>
              </w:rPr>
              <w:t>ḥ</w:t>
            </w:r>
            <w:r w:rsidRPr="00B93166">
              <w:rPr>
                <w:rFonts w:ascii="Book Antiqua" w:hAnsi="Book Antiqua"/>
                <w:sz w:val="20"/>
                <w:szCs w:val="20"/>
              </w:rPr>
              <w:t>ī</w:t>
            </w:r>
            <w:r w:rsidRPr="00B93166">
              <w:rPr>
                <w:rFonts w:ascii="Cambria" w:hAnsi="Cambria" w:cs="Cambria"/>
                <w:sz w:val="20"/>
                <w:szCs w:val="20"/>
              </w:rPr>
              <w:t>ḥ</w:t>
            </w:r>
            <w:r w:rsidRPr="00B93166">
              <w:rPr>
                <w:rFonts w:ascii="Book Antiqua" w:hAnsi="Book Antiqua"/>
                <w:sz w:val="20"/>
                <w:szCs w:val="20"/>
              </w:rPr>
              <w:t xml:space="preserve"> Muslim</w:t>
            </w:r>
          </w:p>
        </w:tc>
        <w:tc>
          <w:tcPr>
            <w:tcW w:w="4165" w:type="dxa"/>
          </w:tcPr>
          <w:p w14:paraId="31B745A9"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sz w:val="20"/>
                <w:szCs w:val="20"/>
              </w:rPr>
              <w:t>Ecological conservation constitutes an act of worship.</w:t>
            </w:r>
          </w:p>
        </w:tc>
      </w:tr>
      <w:tr w:rsidR="00B93166" w:rsidRPr="00B93166" w14:paraId="32D15E4A" w14:textId="77777777" w:rsidTr="00A750D4">
        <w:trPr>
          <w:jc w:val="center"/>
        </w:trPr>
        <w:tc>
          <w:tcPr>
            <w:tcW w:w="1385" w:type="dxa"/>
          </w:tcPr>
          <w:p w14:paraId="72CEE89B"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sz w:val="20"/>
                <w:szCs w:val="20"/>
              </w:rPr>
              <w:t>Efficiency</w:t>
            </w:r>
          </w:p>
        </w:tc>
        <w:tc>
          <w:tcPr>
            <w:tcW w:w="1760" w:type="dxa"/>
          </w:tcPr>
          <w:p w14:paraId="06BE7E2B"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sz w:val="20"/>
                <w:szCs w:val="20"/>
              </w:rPr>
              <w:t>Water conservation</w:t>
            </w:r>
          </w:p>
        </w:tc>
        <w:tc>
          <w:tcPr>
            <w:tcW w:w="1685" w:type="dxa"/>
          </w:tcPr>
          <w:p w14:paraId="54FAF4D6"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sz w:val="20"/>
                <w:szCs w:val="20"/>
              </w:rPr>
              <w:t>Sunan Ibn Mājah</w:t>
            </w:r>
          </w:p>
        </w:tc>
        <w:tc>
          <w:tcPr>
            <w:tcW w:w="4165" w:type="dxa"/>
          </w:tcPr>
          <w:p w14:paraId="3A8F9EF1"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sz w:val="20"/>
                <w:szCs w:val="20"/>
              </w:rPr>
              <w:t>Resources should be used proportionally and responsibly.</w:t>
            </w:r>
          </w:p>
        </w:tc>
      </w:tr>
    </w:tbl>
    <w:p w14:paraId="251B1573" w14:textId="77777777" w:rsidR="00B93166" w:rsidRPr="00B93166" w:rsidRDefault="00B93166" w:rsidP="00B93166">
      <w:pPr>
        <w:spacing w:line="276" w:lineRule="auto"/>
        <w:ind w:firstLine="360"/>
        <w:jc w:val="both"/>
        <w:rPr>
          <w:rFonts w:ascii="Book Antiqua" w:eastAsia="Book Antiqua" w:hAnsi="Book Antiqua" w:cs="Book Antiqua"/>
        </w:rPr>
      </w:pPr>
    </w:p>
    <w:p w14:paraId="1B12AB14" w14:textId="77777777" w:rsidR="00B93166" w:rsidRPr="00B93166" w:rsidRDefault="00B93166" w:rsidP="00A750D4">
      <w:pPr>
        <w:spacing w:after="120" w:line="276" w:lineRule="auto"/>
        <w:ind w:firstLine="360"/>
        <w:jc w:val="both"/>
        <w:rPr>
          <w:rFonts w:ascii="Book Antiqua" w:eastAsia="Book Antiqua" w:hAnsi="Book Antiqua" w:cs="Book Antiqua"/>
        </w:rPr>
      </w:pPr>
      <w:r w:rsidRPr="00B93166">
        <w:rPr>
          <w:rFonts w:ascii="Book Antiqua" w:eastAsia="Book Antiqua" w:hAnsi="Book Antiqua" w:cs="Book Antiqua"/>
        </w:rPr>
        <w:t>Overall, the findings indicate that the epistemological foundation of ICE substantially extends the conventional CE framework. Whereas CE primarily focuses on technological innovation and resource efficiency (Kirchherr et al., 2017; Korhonen et al., 2018), ICE embeds circular resource management within a comprehensive Sharī</w:t>
      </w:r>
      <w:r w:rsidRPr="00B93166">
        <w:rPr>
          <w:rFonts w:eastAsia="Book Antiqua"/>
        </w:rPr>
        <w:t>ʿ</w:t>
      </w:r>
      <w:r w:rsidRPr="00B93166">
        <w:rPr>
          <w:rFonts w:ascii="Book Antiqua" w:eastAsia="Book Antiqua" w:hAnsi="Book Antiqua" w:cs="Book Antiqua"/>
        </w:rPr>
        <w:t>ah-based worldview that integrates theological, ethical, social, economic, and environmental values. Resource circulation is therefore understood not only as an economic strategy but also as a moral and spiritual obligation before Allah. This integrated perspective positions ICE as a transformative sustainability paradigm capable of simultaneously promoting environmental protection, social justice, economic resilience, and the realization of Maqā</w:t>
      </w:r>
      <w:r w:rsidRPr="00B93166">
        <w:rPr>
          <w:rFonts w:ascii="Cambria" w:eastAsia="Book Antiqua" w:hAnsi="Cambria" w:cs="Cambria"/>
        </w:rPr>
        <w:t>ṣ</w:t>
      </w:r>
      <w:r w:rsidRPr="00B93166">
        <w:rPr>
          <w:rFonts w:ascii="Book Antiqua" w:eastAsia="Book Antiqua" w:hAnsi="Book Antiqua" w:cs="Book Antiqua"/>
        </w:rPr>
        <w:t>id al-Sharī</w:t>
      </w:r>
      <w:r w:rsidRPr="00B93166">
        <w:rPr>
          <w:rFonts w:eastAsia="Book Antiqua"/>
        </w:rPr>
        <w:t>ʿ</w:t>
      </w:r>
      <w:r w:rsidRPr="00B93166">
        <w:rPr>
          <w:rFonts w:ascii="Book Antiqua" w:eastAsia="Book Antiqua" w:hAnsi="Book Antiqua" w:cs="Book Antiqua"/>
        </w:rPr>
        <w:t>ah.</w:t>
      </w:r>
    </w:p>
    <w:p w14:paraId="3639F0FD" w14:textId="1089D218" w:rsidR="00B93166" w:rsidRPr="00B93166" w:rsidRDefault="00B93166" w:rsidP="00B93166">
      <w:pPr>
        <w:spacing w:line="276" w:lineRule="auto"/>
        <w:jc w:val="both"/>
        <w:rPr>
          <w:rFonts w:ascii="Book Antiqua" w:eastAsia="Book Antiqua" w:hAnsi="Book Antiqua" w:cs="Book Antiqua"/>
          <w:b/>
          <w:bCs/>
        </w:rPr>
      </w:pPr>
      <w:r w:rsidRPr="00B93166">
        <w:rPr>
          <w:rFonts w:ascii="Book Antiqua" w:eastAsia="Book Antiqua" w:hAnsi="Book Antiqua" w:cs="Book Antiqua"/>
          <w:b/>
          <w:bCs/>
        </w:rPr>
        <w:t>Thematic Analysis of the Alignment between Qur'anic and Prophetic Principles and Circular Economy Principles</w:t>
      </w:r>
    </w:p>
    <w:p w14:paraId="0FC4C915" w14:textId="77777777" w:rsidR="00A750D4" w:rsidRDefault="00B93166" w:rsidP="00A750D4">
      <w:pPr>
        <w:spacing w:line="276" w:lineRule="auto"/>
        <w:ind w:firstLine="360"/>
        <w:jc w:val="both"/>
        <w:rPr>
          <w:rFonts w:ascii="Book Antiqua" w:eastAsia="Book Antiqua" w:hAnsi="Book Antiqua" w:cs="Book Antiqua"/>
        </w:rPr>
      </w:pPr>
      <w:r w:rsidRPr="00B93166">
        <w:rPr>
          <w:rFonts w:ascii="Book Antiqua" w:eastAsia="Book Antiqua" w:hAnsi="Book Antiqua" w:cs="Book Antiqua"/>
        </w:rPr>
        <w:t xml:space="preserve">The thematic analysis of the Qur'an, Hadith, and contemporary Circular Economy (CE) literature demonstrates a substantial convergence between Islamic ethical principles and CE strategies. Using a </w:t>
      </w:r>
      <w:r w:rsidRPr="00B93166">
        <w:rPr>
          <w:rFonts w:ascii="Book Antiqua" w:eastAsia="Book Antiqua" w:hAnsi="Book Antiqua" w:cs="Book Antiqua"/>
        </w:rPr>
        <w:lastRenderedPageBreak/>
        <w:t>grounded theory approach, open coding identified recurring concepts, including resource efficiency, prohibition of isrāf (wastefulness), stewardship (khalifah), amanah (trust), environmental balance (mīzān), and ma</w:t>
      </w:r>
      <w:r w:rsidRPr="00B93166">
        <w:rPr>
          <w:rFonts w:ascii="Cambria" w:eastAsia="Book Antiqua" w:hAnsi="Cambria" w:cs="Cambria"/>
        </w:rPr>
        <w:t>ṣ</w:t>
      </w:r>
      <w:r w:rsidRPr="00B93166">
        <w:rPr>
          <w:rFonts w:ascii="Book Antiqua" w:eastAsia="Book Antiqua" w:hAnsi="Book Antiqua" w:cs="Book Antiqua"/>
        </w:rPr>
        <w:t>la</w:t>
      </w:r>
      <w:r w:rsidRPr="00B93166">
        <w:rPr>
          <w:rFonts w:ascii="Cambria" w:eastAsia="Book Antiqua" w:hAnsi="Cambria" w:cs="Cambria"/>
        </w:rPr>
        <w:t>ḥ</w:t>
      </w:r>
      <w:r w:rsidRPr="00B93166">
        <w:rPr>
          <w:rFonts w:ascii="Book Antiqua" w:eastAsia="Book Antiqua" w:hAnsi="Book Antiqua" w:cs="Book Antiqua"/>
        </w:rPr>
        <w:t>ah (public welfare). Through axial and selective coding, these concepts were synthesized into five interrelated themes resource efficiency, resource optimization, environmental regeneration, social responsibility, and sustainability which correspond closely to the five CE strategies: reduce, reuse, recycle, recover, and regenerate.</w:t>
      </w:r>
    </w:p>
    <w:p w14:paraId="381368DE" w14:textId="77CF83E0" w:rsidR="00B93166" w:rsidRPr="00B93166" w:rsidRDefault="00B93166" w:rsidP="00A750D4">
      <w:pPr>
        <w:spacing w:after="120" w:line="276" w:lineRule="auto"/>
        <w:ind w:firstLine="360"/>
        <w:jc w:val="both"/>
        <w:rPr>
          <w:rFonts w:ascii="Book Antiqua" w:eastAsia="Book Antiqua" w:hAnsi="Book Antiqua" w:cs="Book Antiqua"/>
        </w:rPr>
      </w:pPr>
      <w:r w:rsidRPr="00B93166">
        <w:rPr>
          <w:rFonts w:ascii="Book Antiqua" w:eastAsia="Book Antiqua" w:hAnsi="Book Antiqua" w:cs="Book Antiqua"/>
        </w:rPr>
        <w:t>The findings indicate that Islamic teachings extend the conventional CE paradigm beyond technical resource management by embedding environmental stewardship within a comprehensive ethical and spiritual framework. The prohibition of isrāf (Qur'an 7:31) reinforces the reduce principle by promoting moderation as both a moral obligation and a sustainability strategy. The concepts of amanah and khalifah support reuse and recover, emphasizing responsible resource management as a divine trust. Likewise, the principles of mīzān and i</w:t>
      </w:r>
      <w:r w:rsidRPr="00B93166">
        <w:rPr>
          <w:rFonts w:ascii="Cambria" w:eastAsia="Book Antiqua" w:hAnsi="Cambria" w:cs="Cambria"/>
        </w:rPr>
        <w:t>ṣ</w:t>
      </w:r>
      <w:r w:rsidRPr="00B93166">
        <w:rPr>
          <w:rFonts w:ascii="Book Antiqua" w:eastAsia="Book Antiqua" w:hAnsi="Book Antiqua" w:cs="Book Antiqua"/>
        </w:rPr>
        <w:t>lā</w:t>
      </w:r>
      <w:r w:rsidRPr="00B93166">
        <w:rPr>
          <w:rFonts w:ascii="Cambria" w:eastAsia="Book Antiqua" w:hAnsi="Cambria" w:cs="Cambria"/>
        </w:rPr>
        <w:t>ḥ</w:t>
      </w:r>
      <w:r w:rsidRPr="00B93166">
        <w:rPr>
          <w:rFonts w:ascii="Book Antiqua" w:eastAsia="Book Antiqua" w:hAnsi="Book Antiqua" w:cs="Book Antiqua"/>
        </w:rPr>
        <w:t>, reflected in Qur'an 55:7–9 and 30:41, align with regenerate by advocating ecosystem restoration and ecological balance. Moreover, Qur'an 59:7 broadens the CE perspective through distributive justice, integrating social equity into sustainability. Collectively, these findings suggest that Islamic values provide a robust normative and epistemological foundation for the Islamic Circular Economy (ICE), transforming CE from a resource-efficiency model into a holistic framework encompassing environmental sustainability, social justice, economic resilience, and spiritual accountability (Kirchherr et al., 2017; Geissdoerfer et al., 2017; Korhonen et al., 2018; Ellen MacArthur Foundation, 2019). The thematic synthesis is presented in Table 2.</w:t>
      </w:r>
    </w:p>
    <w:p w14:paraId="42A485C2" w14:textId="6F032BB9" w:rsidR="00B93166" w:rsidRPr="00B93166" w:rsidRDefault="00B93166" w:rsidP="00A750D4">
      <w:pPr>
        <w:spacing w:line="276" w:lineRule="auto"/>
        <w:jc w:val="center"/>
        <w:rPr>
          <w:rFonts w:ascii="Book Antiqua" w:eastAsia="Book Antiqua" w:hAnsi="Book Antiqua" w:cs="Book Antiqua"/>
          <w:b/>
          <w:bCs/>
        </w:rPr>
      </w:pPr>
      <w:r w:rsidRPr="00B93166">
        <w:rPr>
          <w:rFonts w:ascii="Book Antiqua" w:eastAsia="Book Antiqua" w:hAnsi="Book Antiqua" w:cs="Book Antiqua"/>
          <w:b/>
          <w:bCs/>
        </w:rPr>
        <w:t>Table 2. Thematic Alignment between Circular Economy Principles and Islamic Teachings</w:t>
      </w:r>
    </w:p>
    <w:tbl>
      <w:tblPr>
        <w:tblStyle w:val="TableGrid3"/>
        <w:tblW w:w="0" w:type="auto"/>
        <w:jc w:val="center"/>
        <w:tblLook w:val="04A0" w:firstRow="1" w:lastRow="0" w:firstColumn="1" w:lastColumn="0" w:noHBand="0" w:noVBand="1"/>
      </w:tblPr>
      <w:tblGrid>
        <w:gridCol w:w="1239"/>
        <w:gridCol w:w="2885"/>
        <w:gridCol w:w="4567"/>
      </w:tblGrid>
      <w:tr w:rsidR="00B93166" w:rsidRPr="00B93166" w14:paraId="4DFAE39A" w14:textId="77777777" w:rsidTr="00A750D4">
        <w:trPr>
          <w:tblHeader/>
          <w:jc w:val="center"/>
        </w:trPr>
        <w:tc>
          <w:tcPr>
            <w:tcW w:w="1183" w:type="dxa"/>
            <w:vAlign w:val="center"/>
          </w:tcPr>
          <w:p w14:paraId="3CAC4E1A" w14:textId="77777777" w:rsidR="00B93166" w:rsidRPr="00B93166" w:rsidRDefault="00B93166" w:rsidP="00A750D4">
            <w:pPr>
              <w:jc w:val="center"/>
              <w:rPr>
                <w:rFonts w:ascii="Book Antiqua" w:hAnsi="Book Antiqua" w:cs="Calibri"/>
                <w:sz w:val="20"/>
                <w:szCs w:val="20"/>
                <w:lang w:val="en-ID"/>
              </w:rPr>
            </w:pPr>
            <w:r w:rsidRPr="00B93166">
              <w:rPr>
                <w:rFonts w:ascii="Book Antiqua" w:hAnsi="Book Antiqua" w:cs="Times New Roman"/>
                <w:b/>
                <w:bCs/>
                <w:sz w:val="20"/>
                <w:szCs w:val="20"/>
                <w:lang w:val="en-ID"/>
              </w:rPr>
              <w:t>Circular Economy Principle</w:t>
            </w:r>
          </w:p>
        </w:tc>
        <w:tc>
          <w:tcPr>
            <w:tcW w:w="2885" w:type="dxa"/>
            <w:vAlign w:val="center"/>
          </w:tcPr>
          <w:p w14:paraId="393D0121" w14:textId="77777777" w:rsidR="00B93166" w:rsidRPr="00B93166" w:rsidRDefault="00B93166" w:rsidP="00A750D4">
            <w:pPr>
              <w:jc w:val="center"/>
              <w:rPr>
                <w:rFonts w:ascii="Book Antiqua" w:hAnsi="Book Antiqua" w:cs="Calibri"/>
                <w:sz w:val="20"/>
                <w:szCs w:val="20"/>
                <w:lang w:val="en-ID"/>
              </w:rPr>
            </w:pPr>
            <w:r w:rsidRPr="00B93166">
              <w:rPr>
                <w:rFonts w:ascii="Book Antiqua" w:hAnsi="Book Antiqua" w:cs="Times New Roman"/>
                <w:b/>
                <w:bCs/>
                <w:sz w:val="20"/>
                <w:szCs w:val="20"/>
                <w:lang w:val="en-ID"/>
              </w:rPr>
              <w:t>Qur'anic and Prophetic Principle</w:t>
            </w:r>
          </w:p>
        </w:tc>
        <w:tc>
          <w:tcPr>
            <w:tcW w:w="4567" w:type="dxa"/>
            <w:vAlign w:val="center"/>
          </w:tcPr>
          <w:p w14:paraId="746125FA" w14:textId="77777777" w:rsidR="00B93166" w:rsidRPr="00B93166" w:rsidRDefault="00B93166" w:rsidP="00A750D4">
            <w:pPr>
              <w:jc w:val="center"/>
              <w:rPr>
                <w:rFonts w:ascii="Book Antiqua" w:hAnsi="Book Antiqua" w:cs="Calibri"/>
                <w:sz w:val="20"/>
                <w:szCs w:val="20"/>
                <w:lang w:val="en-ID"/>
              </w:rPr>
            </w:pPr>
            <w:r w:rsidRPr="00B93166">
              <w:rPr>
                <w:rFonts w:ascii="Book Antiqua" w:hAnsi="Book Antiqua" w:cs="Times New Roman"/>
                <w:b/>
                <w:bCs/>
                <w:sz w:val="20"/>
                <w:szCs w:val="20"/>
                <w:lang w:val="en-ID"/>
              </w:rPr>
              <w:t>Thematic Interpretation</w:t>
            </w:r>
          </w:p>
        </w:tc>
      </w:tr>
      <w:tr w:rsidR="00B93166" w:rsidRPr="00B93166" w14:paraId="4A3482D3" w14:textId="77777777" w:rsidTr="00A750D4">
        <w:trPr>
          <w:jc w:val="center"/>
        </w:trPr>
        <w:tc>
          <w:tcPr>
            <w:tcW w:w="1183" w:type="dxa"/>
            <w:vAlign w:val="center"/>
          </w:tcPr>
          <w:p w14:paraId="2CFA677C"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cs="Times New Roman"/>
                <w:b/>
                <w:bCs/>
                <w:sz w:val="20"/>
                <w:szCs w:val="20"/>
                <w:lang w:val="en-ID"/>
              </w:rPr>
              <w:t>Reduce</w:t>
            </w:r>
          </w:p>
        </w:tc>
        <w:tc>
          <w:tcPr>
            <w:tcW w:w="2885" w:type="dxa"/>
            <w:vAlign w:val="center"/>
          </w:tcPr>
          <w:p w14:paraId="1D60C00A"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cs="Times New Roman"/>
                <w:sz w:val="20"/>
                <w:szCs w:val="20"/>
                <w:lang w:val="en-ID"/>
              </w:rPr>
              <w:t xml:space="preserve">Prohibition of </w:t>
            </w:r>
            <w:r w:rsidRPr="00B93166">
              <w:rPr>
                <w:rFonts w:ascii="Book Antiqua" w:hAnsi="Book Antiqua" w:cs="Times New Roman"/>
                <w:i/>
                <w:iCs/>
                <w:sz w:val="20"/>
                <w:szCs w:val="20"/>
                <w:lang w:val="en-ID"/>
              </w:rPr>
              <w:t>isrāf</w:t>
            </w:r>
            <w:r w:rsidRPr="00B93166">
              <w:rPr>
                <w:rFonts w:ascii="Book Antiqua" w:hAnsi="Book Antiqua" w:cs="Times New Roman"/>
                <w:sz w:val="20"/>
                <w:szCs w:val="20"/>
                <w:lang w:val="en-ID"/>
              </w:rPr>
              <w:t xml:space="preserve"> (Qur'an 7:31)</w:t>
            </w:r>
          </w:p>
        </w:tc>
        <w:tc>
          <w:tcPr>
            <w:tcW w:w="4567" w:type="dxa"/>
            <w:vAlign w:val="center"/>
          </w:tcPr>
          <w:p w14:paraId="23B3F7C2"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cs="Times New Roman"/>
                <w:sz w:val="20"/>
                <w:szCs w:val="20"/>
                <w:lang w:val="en-ID"/>
              </w:rPr>
              <w:t>Efficient resource utilization and avoidance of excessive consumption as a moral obligation.</w:t>
            </w:r>
          </w:p>
        </w:tc>
      </w:tr>
      <w:tr w:rsidR="00B93166" w:rsidRPr="00B93166" w14:paraId="7348CA1F" w14:textId="77777777" w:rsidTr="00A750D4">
        <w:trPr>
          <w:jc w:val="center"/>
        </w:trPr>
        <w:tc>
          <w:tcPr>
            <w:tcW w:w="1183" w:type="dxa"/>
            <w:vAlign w:val="center"/>
          </w:tcPr>
          <w:p w14:paraId="5B8BBF14"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cs="Times New Roman"/>
                <w:b/>
                <w:bCs/>
                <w:sz w:val="20"/>
                <w:szCs w:val="20"/>
                <w:lang w:val="en-ID"/>
              </w:rPr>
              <w:t>Reuse</w:t>
            </w:r>
          </w:p>
        </w:tc>
        <w:tc>
          <w:tcPr>
            <w:tcW w:w="2885" w:type="dxa"/>
            <w:vAlign w:val="center"/>
          </w:tcPr>
          <w:p w14:paraId="1B2E47B9"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cs="Times New Roman"/>
                <w:i/>
                <w:iCs/>
                <w:sz w:val="20"/>
                <w:szCs w:val="20"/>
                <w:lang w:val="en-ID"/>
              </w:rPr>
              <w:t>Amanah</w:t>
            </w:r>
            <w:r w:rsidRPr="00B93166">
              <w:rPr>
                <w:rFonts w:ascii="Book Antiqua" w:hAnsi="Book Antiqua" w:cs="Times New Roman"/>
                <w:sz w:val="20"/>
                <w:szCs w:val="20"/>
                <w:lang w:val="en-ID"/>
              </w:rPr>
              <w:t xml:space="preserve"> and resource optimization</w:t>
            </w:r>
          </w:p>
        </w:tc>
        <w:tc>
          <w:tcPr>
            <w:tcW w:w="4567" w:type="dxa"/>
            <w:vAlign w:val="center"/>
          </w:tcPr>
          <w:p w14:paraId="5982356F"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cs="Times New Roman"/>
                <w:sz w:val="20"/>
                <w:szCs w:val="20"/>
                <w:lang w:val="en-ID"/>
              </w:rPr>
              <w:t>Resources should be reused to maximize their benefits before disposal.</w:t>
            </w:r>
          </w:p>
        </w:tc>
      </w:tr>
      <w:tr w:rsidR="00B93166" w:rsidRPr="00B93166" w14:paraId="160A98B7" w14:textId="77777777" w:rsidTr="00A750D4">
        <w:trPr>
          <w:jc w:val="center"/>
        </w:trPr>
        <w:tc>
          <w:tcPr>
            <w:tcW w:w="1183" w:type="dxa"/>
            <w:vAlign w:val="center"/>
          </w:tcPr>
          <w:p w14:paraId="4A7F0F8E"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cs="Times New Roman"/>
                <w:b/>
                <w:bCs/>
                <w:sz w:val="20"/>
                <w:szCs w:val="20"/>
                <w:lang w:val="en-ID"/>
              </w:rPr>
              <w:t>Recycle</w:t>
            </w:r>
          </w:p>
        </w:tc>
        <w:tc>
          <w:tcPr>
            <w:tcW w:w="2885" w:type="dxa"/>
            <w:vAlign w:val="center"/>
          </w:tcPr>
          <w:p w14:paraId="0784A404"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cs="Times New Roman"/>
                <w:i/>
                <w:iCs/>
                <w:sz w:val="20"/>
                <w:szCs w:val="20"/>
                <w:lang w:val="en-ID"/>
              </w:rPr>
              <w:t>I</w:t>
            </w:r>
            <w:r w:rsidRPr="00B93166">
              <w:rPr>
                <w:rFonts w:ascii="Cambria" w:hAnsi="Cambria" w:cs="Cambria"/>
                <w:i/>
                <w:iCs/>
                <w:sz w:val="20"/>
                <w:szCs w:val="20"/>
                <w:lang w:val="en-ID"/>
              </w:rPr>
              <w:t>ḥ</w:t>
            </w:r>
            <w:r w:rsidRPr="00B93166">
              <w:rPr>
                <w:rFonts w:ascii="Book Antiqua" w:hAnsi="Book Antiqua" w:cs="Times New Roman"/>
                <w:i/>
                <w:iCs/>
                <w:sz w:val="20"/>
                <w:szCs w:val="20"/>
                <w:lang w:val="en-ID"/>
              </w:rPr>
              <w:t>s</w:t>
            </w:r>
            <w:r w:rsidRPr="00B93166">
              <w:rPr>
                <w:rFonts w:ascii="Book Antiqua" w:hAnsi="Book Antiqua" w:cs="Garamond"/>
                <w:i/>
                <w:iCs/>
                <w:sz w:val="20"/>
                <w:szCs w:val="20"/>
                <w:lang w:val="en-ID"/>
              </w:rPr>
              <w:t>ā</w:t>
            </w:r>
            <w:r w:rsidRPr="00B93166">
              <w:rPr>
                <w:rFonts w:ascii="Book Antiqua" w:hAnsi="Book Antiqua" w:cs="Times New Roman"/>
                <w:i/>
                <w:iCs/>
                <w:sz w:val="20"/>
                <w:szCs w:val="20"/>
                <w:lang w:val="en-ID"/>
              </w:rPr>
              <w:t>n</w:t>
            </w:r>
            <w:r w:rsidRPr="00B93166">
              <w:rPr>
                <w:rFonts w:ascii="Book Antiqua" w:hAnsi="Book Antiqua" w:cs="Times New Roman"/>
                <w:sz w:val="20"/>
                <w:szCs w:val="20"/>
                <w:lang w:val="en-ID"/>
              </w:rPr>
              <w:t xml:space="preserve"> and efficiency</w:t>
            </w:r>
          </w:p>
        </w:tc>
        <w:tc>
          <w:tcPr>
            <w:tcW w:w="4567" w:type="dxa"/>
            <w:vAlign w:val="center"/>
          </w:tcPr>
          <w:p w14:paraId="0694D060"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cs="Times New Roman"/>
                <w:sz w:val="20"/>
                <w:szCs w:val="20"/>
                <w:lang w:val="en-ID"/>
              </w:rPr>
              <w:t>Waste should be transformed into valuable resources to minimize environmental impacts and increase utility.</w:t>
            </w:r>
          </w:p>
        </w:tc>
      </w:tr>
      <w:tr w:rsidR="00B93166" w:rsidRPr="00B93166" w14:paraId="19DB372B" w14:textId="77777777" w:rsidTr="00A750D4">
        <w:trPr>
          <w:jc w:val="center"/>
        </w:trPr>
        <w:tc>
          <w:tcPr>
            <w:tcW w:w="1183" w:type="dxa"/>
            <w:vAlign w:val="center"/>
          </w:tcPr>
          <w:p w14:paraId="2F9173E8"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cs="Times New Roman"/>
                <w:b/>
                <w:bCs/>
                <w:sz w:val="20"/>
                <w:szCs w:val="20"/>
                <w:lang w:val="en-ID"/>
              </w:rPr>
              <w:t>Recover</w:t>
            </w:r>
          </w:p>
        </w:tc>
        <w:tc>
          <w:tcPr>
            <w:tcW w:w="2885" w:type="dxa"/>
            <w:vAlign w:val="center"/>
          </w:tcPr>
          <w:p w14:paraId="7A18536F"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cs="Times New Roman"/>
                <w:i/>
                <w:iCs/>
                <w:sz w:val="20"/>
                <w:szCs w:val="20"/>
                <w:lang w:val="en-ID"/>
              </w:rPr>
              <w:t>Khalifah</w:t>
            </w:r>
            <w:r w:rsidRPr="00B93166">
              <w:rPr>
                <w:rFonts w:ascii="Book Antiqua" w:hAnsi="Book Antiqua" w:cs="Times New Roman"/>
                <w:sz w:val="20"/>
                <w:szCs w:val="20"/>
                <w:lang w:val="en-ID"/>
              </w:rPr>
              <w:t xml:space="preserve"> and stewardship</w:t>
            </w:r>
          </w:p>
        </w:tc>
        <w:tc>
          <w:tcPr>
            <w:tcW w:w="4567" w:type="dxa"/>
            <w:vAlign w:val="center"/>
          </w:tcPr>
          <w:p w14:paraId="1245C675"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cs="Times New Roman"/>
                <w:sz w:val="20"/>
                <w:szCs w:val="20"/>
                <w:lang w:val="en-ID"/>
              </w:rPr>
              <w:t>Recovering the value of resources represents human responsibility in managing God's creation.</w:t>
            </w:r>
          </w:p>
        </w:tc>
      </w:tr>
      <w:tr w:rsidR="00B93166" w:rsidRPr="00B93166" w14:paraId="3D99A28F" w14:textId="77777777" w:rsidTr="00A750D4">
        <w:trPr>
          <w:jc w:val="center"/>
        </w:trPr>
        <w:tc>
          <w:tcPr>
            <w:tcW w:w="1183" w:type="dxa"/>
            <w:vAlign w:val="center"/>
          </w:tcPr>
          <w:p w14:paraId="09E03D19"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cs="Times New Roman"/>
                <w:b/>
                <w:bCs/>
                <w:sz w:val="20"/>
                <w:szCs w:val="20"/>
                <w:lang w:val="en-ID"/>
              </w:rPr>
              <w:t>Regenerate</w:t>
            </w:r>
          </w:p>
        </w:tc>
        <w:tc>
          <w:tcPr>
            <w:tcW w:w="2885" w:type="dxa"/>
            <w:vAlign w:val="center"/>
          </w:tcPr>
          <w:p w14:paraId="7A949EB4"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cs="Times New Roman"/>
                <w:i/>
                <w:iCs/>
                <w:sz w:val="20"/>
                <w:szCs w:val="20"/>
                <w:lang w:val="en-ID"/>
              </w:rPr>
              <w:t>Mīzān</w:t>
            </w:r>
            <w:r w:rsidRPr="00B93166">
              <w:rPr>
                <w:rFonts w:ascii="Book Antiqua" w:hAnsi="Book Antiqua" w:cs="Times New Roman"/>
                <w:sz w:val="20"/>
                <w:szCs w:val="20"/>
                <w:lang w:val="en-ID"/>
              </w:rPr>
              <w:t xml:space="preserve"> and </w:t>
            </w:r>
            <w:r w:rsidRPr="00B93166">
              <w:rPr>
                <w:rFonts w:ascii="Book Antiqua" w:hAnsi="Book Antiqua" w:cs="Times New Roman"/>
                <w:i/>
                <w:iCs/>
                <w:sz w:val="20"/>
                <w:szCs w:val="20"/>
                <w:lang w:val="en-ID"/>
              </w:rPr>
              <w:t>i</w:t>
            </w:r>
            <w:r w:rsidRPr="00B93166">
              <w:rPr>
                <w:rFonts w:ascii="Cambria" w:hAnsi="Cambria" w:cs="Cambria"/>
                <w:i/>
                <w:iCs/>
                <w:sz w:val="20"/>
                <w:szCs w:val="20"/>
                <w:lang w:val="en-ID"/>
              </w:rPr>
              <w:t>ṣ</w:t>
            </w:r>
            <w:r w:rsidRPr="00B93166">
              <w:rPr>
                <w:rFonts w:ascii="Book Antiqua" w:hAnsi="Book Antiqua" w:cs="Times New Roman"/>
                <w:i/>
                <w:iCs/>
                <w:sz w:val="20"/>
                <w:szCs w:val="20"/>
                <w:lang w:val="en-ID"/>
              </w:rPr>
              <w:t>l</w:t>
            </w:r>
            <w:r w:rsidRPr="00B93166">
              <w:rPr>
                <w:rFonts w:ascii="Book Antiqua" w:hAnsi="Book Antiqua" w:cs="Garamond"/>
                <w:i/>
                <w:iCs/>
                <w:sz w:val="20"/>
                <w:szCs w:val="20"/>
                <w:lang w:val="en-ID"/>
              </w:rPr>
              <w:t>ā</w:t>
            </w:r>
            <w:r w:rsidRPr="00B93166">
              <w:rPr>
                <w:rFonts w:ascii="Cambria" w:hAnsi="Cambria" w:cs="Cambria"/>
                <w:i/>
                <w:iCs/>
                <w:sz w:val="20"/>
                <w:szCs w:val="20"/>
                <w:lang w:val="en-ID"/>
              </w:rPr>
              <w:t>ḥ</w:t>
            </w:r>
            <w:r w:rsidRPr="00B93166">
              <w:rPr>
                <w:rFonts w:ascii="Book Antiqua" w:hAnsi="Book Antiqua" w:cs="Times New Roman"/>
                <w:sz w:val="20"/>
                <w:szCs w:val="20"/>
                <w:lang w:val="en-ID"/>
              </w:rPr>
              <w:t xml:space="preserve"> (Qur'an 55:7–9; 30:41)</w:t>
            </w:r>
          </w:p>
        </w:tc>
        <w:tc>
          <w:tcPr>
            <w:tcW w:w="4567" w:type="dxa"/>
            <w:vAlign w:val="center"/>
          </w:tcPr>
          <w:p w14:paraId="32994931" w14:textId="77777777" w:rsidR="00B93166" w:rsidRPr="00B93166" w:rsidRDefault="00B93166" w:rsidP="00A750D4">
            <w:pPr>
              <w:jc w:val="both"/>
              <w:rPr>
                <w:rFonts w:ascii="Book Antiqua" w:hAnsi="Book Antiqua" w:cs="Calibri"/>
                <w:sz w:val="20"/>
                <w:szCs w:val="20"/>
                <w:lang w:val="en-ID"/>
              </w:rPr>
            </w:pPr>
            <w:r w:rsidRPr="00B93166">
              <w:rPr>
                <w:rFonts w:ascii="Book Antiqua" w:hAnsi="Book Antiqua" w:cs="Times New Roman"/>
                <w:sz w:val="20"/>
                <w:szCs w:val="20"/>
                <w:lang w:val="en-ID"/>
              </w:rPr>
              <w:t>Ecosystem restoration and environmental conservation are essential to maintaining balance and sustainability.</w:t>
            </w:r>
          </w:p>
        </w:tc>
      </w:tr>
    </w:tbl>
    <w:p w14:paraId="49FE25E9" w14:textId="77777777" w:rsidR="00B93166" w:rsidRPr="00B93166" w:rsidRDefault="00B93166" w:rsidP="00B93166">
      <w:pPr>
        <w:spacing w:line="276" w:lineRule="auto"/>
        <w:ind w:firstLine="360"/>
        <w:jc w:val="both"/>
        <w:rPr>
          <w:rFonts w:ascii="Book Antiqua" w:eastAsia="Book Antiqua" w:hAnsi="Book Antiqua" w:cs="Book Antiqua"/>
        </w:rPr>
      </w:pPr>
    </w:p>
    <w:p w14:paraId="36012CF1" w14:textId="55A362F1" w:rsidR="00B93166" w:rsidRPr="00B93166" w:rsidRDefault="00B93166" w:rsidP="00A750D4">
      <w:pPr>
        <w:spacing w:line="276" w:lineRule="auto"/>
        <w:jc w:val="both"/>
        <w:rPr>
          <w:rFonts w:ascii="Book Antiqua" w:eastAsia="Book Antiqua" w:hAnsi="Book Antiqua" w:cs="Book Antiqua"/>
          <w:b/>
          <w:bCs/>
        </w:rPr>
      </w:pPr>
      <w:r w:rsidRPr="00B93166">
        <w:rPr>
          <w:rFonts w:ascii="Book Antiqua" w:eastAsia="Book Antiqua" w:hAnsi="Book Antiqua" w:cs="Book Antiqua"/>
          <w:b/>
          <w:bCs/>
        </w:rPr>
        <w:t>Thematic Analysis Results: Reconstructing the Transformative Islamic Circular Economy Framework</w:t>
      </w:r>
    </w:p>
    <w:p w14:paraId="6625F676" w14:textId="77777777" w:rsidR="00B93166" w:rsidRPr="00B93166" w:rsidRDefault="00B93166" w:rsidP="00B93166">
      <w:pPr>
        <w:spacing w:line="276" w:lineRule="auto"/>
        <w:ind w:firstLine="360"/>
        <w:jc w:val="both"/>
        <w:rPr>
          <w:rFonts w:ascii="Book Antiqua" w:eastAsia="Book Antiqua" w:hAnsi="Book Antiqua" w:cs="Book Antiqua"/>
          <w:lang w:val="en-ID"/>
        </w:rPr>
      </w:pPr>
      <w:r w:rsidRPr="00B93166">
        <w:rPr>
          <w:rFonts w:ascii="Book Antiqua" w:eastAsia="Book Antiqua" w:hAnsi="Book Antiqua" w:cs="Book Antiqua"/>
          <w:lang w:val="en-ID"/>
        </w:rPr>
        <w:t xml:space="preserve">The thematic analysis reveals that the Islamic Circular Economy (ICE) remains conceptually fragmented in the current literature. Existing studies predominantly adopt the Circular Economy (CE) as the primary analytical framework while treating Islamic principles as complementary ethical values rather than as the epistemological foundation of the economic system. Consequently, ICE has been framed largely as an extension of conventional CE instead of an independent paradigm rooted in Islamic worldview. By synthesizing evidence from the Qur'an, Hadith, and contemporary scholarship, this study demonstrates that Islamic teachings provide a coherent normative framework that systematically underpins every stage </w:t>
      </w:r>
      <w:r w:rsidRPr="00B93166">
        <w:rPr>
          <w:rFonts w:ascii="Book Antiqua" w:eastAsia="Book Antiqua" w:hAnsi="Book Antiqua" w:cs="Book Antiqua"/>
          <w:lang w:val="en-ID"/>
        </w:rPr>
        <w:lastRenderedPageBreak/>
        <w:t>of circular economic practice, thereby enabling the reconstruction of a more comprehensive and transformative ICE model (Geissdoerfer et al., 2017; Kirchherr et al., 2017).</w:t>
      </w:r>
    </w:p>
    <w:p w14:paraId="596CEFB2" w14:textId="77777777" w:rsidR="00B93166" w:rsidRPr="00B93166" w:rsidRDefault="00B93166" w:rsidP="00B93166">
      <w:pPr>
        <w:spacing w:line="276" w:lineRule="auto"/>
        <w:ind w:firstLine="360"/>
        <w:jc w:val="both"/>
        <w:rPr>
          <w:rFonts w:ascii="Book Antiqua" w:eastAsia="Book Antiqua" w:hAnsi="Book Antiqua" w:cs="Book Antiqua"/>
          <w:lang w:val="en-ID"/>
        </w:rPr>
      </w:pPr>
      <w:r w:rsidRPr="00B93166">
        <w:rPr>
          <w:rFonts w:ascii="Book Antiqua" w:eastAsia="Book Antiqua" w:hAnsi="Book Antiqua" w:cs="Book Antiqua"/>
          <w:lang w:val="en-ID"/>
        </w:rPr>
        <w:t>Open coding identified seven recurring core values—tawhid, khalifah, amanah, mīzān, i</w:t>
      </w:r>
      <w:r w:rsidRPr="00B93166">
        <w:rPr>
          <w:rFonts w:ascii="Cambria" w:eastAsia="Book Antiqua" w:hAnsi="Cambria" w:cs="Cambria"/>
          <w:lang w:val="en-ID"/>
        </w:rPr>
        <w:t>ḥ</w:t>
      </w:r>
      <w:r w:rsidRPr="00B93166">
        <w:rPr>
          <w:rFonts w:ascii="Book Antiqua" w:eastAsia="Book Antiqua" w:hAnsi="Book Antiqua" w:cs="Book Antiqua"/>
          <w:lang w:val="en-ID"/>
        </w:rPr>
        <w:t>sān, ma</w:t>
      </w:r>
      <w:r w:rsidRPr="00B93166">
        <w:rPr>
          <w:rFonts w:ascii="Cambria" w:eastAsia="Book Antiqua" w:hAnsi="Cambria" w:cs="Cambria"/>
          <w:lang w:val="en-ID"/>
        </w:rPr>
        <w:t>ṣ</w:t>
      </w:r>
      <w:r w:rsidRPr="00B93166">
        <w:rPr>
          <w:rFonts w:ascii="Book Antiqua" w:eastAsia="Book Antiqua" w:hAnsi="Book Antiqua" w:cs="Book Antiqua"/>
          <w:lang w:val="en-ID"/>
        </w:rPr>
        <w:t>la</w:t>
      </w:r>
      <w:r w:rsidRPr="00B93166">
        <w:rPr>
          <w:rFonts w:ascii="Cambria" w:eastAsia="Book Antiqua" w:hAnsi="Cambria" w:cs="Cambria"/>
          <w:lang w:val="en-ID"/>
        </w:rPr>
        <w:t>ḥ</w:t>
      </w:r>
      <w:r w:rsidRPr="00B93166">
        <w:rPr>
          <w:rFonts w:ascii="Book Antiqua" w:eastAsia="Book Antiqua" w:hAnsi="Book Antiqua" w:cs="Book Antiqua"/>
          <w:lang w:val="en-ID"/>
        </w:rPr>
        <w:t>ah, and the prohibition of isrāf—which consistently emerged across Islamic primary sources and academic literature. Axial coding subsequently organized these values into three interrelated dimensions: theological foundation, ethical orientation, and resource governance. This conceptual structure demonstrates that Islamic economic activities extend beyond resource efficiency by integrating spiritual accountability, environmental stewardship, and social responsibility, as reflected in the Qur'an (Al-Baqarah 2:30; Al-A'raf 7:56; Ar-Rahman 55:7–9; Al-An'am 6:141).</w:t>
      </w:r>
    </w:p>
    <w:p w14:paraId="43346FE8" w14:textId="77777777" w:rsidR="00B93166" w:rsidRPr="00B93166" w:rsidRDefault="00B93166" w:rsidP="00B93166">
      <w:pPr>
        <w:spacing w:line="276" w:lineRule="auto"/>
        <w:ind w:firstLine="360"/>
        <w:jc w:val="both"/>
        <w:rPr>
          <w:rFonts w:ascii="Book Antiqua" w:eastAsia="Book Antiqua" w:hAnsi="Book Antiqua" w:cs="Book Antiqua"/>
          <w:lang w:val="en-ID"/>
        </w:rPr>
      </w:pPr>
      <w:r w:rsidRPr="00B93166">
        <w:rPr>
          <w:rFonts w:ascii="Book Antiqua" w:eastAsia="Book Antiqua" w:hAnsi="Book Antiqua" w:cs="Book Antiqua"/>
          <w:lang w:val="en-ID"/>
        </w:rPr>
        <w:t>The analysis further indicates that Islamic values provide the normative basis for implementing circular economy strategies. The principle of reduce is grounded in the prohibition of isrāf, encouraging moderation and responsible consumption, while reuse, repair, recycle, and recover emphasize resource optimization, value restoration, and the prevention of environmental degradation (fasād). The principle of regenerate reflects the concept of i</w:t>
      </w:r>
      <w:r w:rsidRPr="00B93166">
        <w:rPr>
          <w:rFonts w:ascii="Cambria" w:eastAsia="Book Antiqua" w:hAnsi="Cambria" w:cs="Cambria"/>
          <w:lang w:val="en-ID"/>
        </w:rPr>
        <w:t>ṣ</w:t>
      </w:r>
      <w:r w:rsidRPr="00B93166">
        <w:rPr>
          <w:rFonts w:ascii="Book Antiqua" w:eastAsia="Book Antiqua" w:hAnsi="Book Antiqua" w:cs="Book Antiqua"/>
          <w:lang w:val="en-ID"/>
        </w:rPr>
        <w:t>lā</w:t>
      </w:r>
      <w:r w:rsidRPr="00B93166">
        <w:rPr>
          <w:rFonts w:ascii="Cambria" w:eastAsia="Book Antiqua" w:hAnsi="Cambria" w:cs="Cambria"/>
          <w:lang w:val="en-ID"/>
        </w:rPr>
        <w:t>ḥ</w:t>
      </w:r>
      <w:r w:rsidRPr="00B93166">
        <w:rPr>
          <w:rFonts w:ascii="Book Antiqua" w:eastAsia="Book Antiqua" w:hAnsi="Book Antiqua" w:cs="Book Antiqua"/>
          <w:lang w:val="en-ID"/>
        </w:rPr>
        <w:t>, emphasizing ecological restoration and continuous environmental improvement. Accordingly, ICE transcends material resource management by embedding ethical transformation, institutional governance, and collective responsibility within sustainable economic systems, thereby extending the conceptual boundaries of conventional CE (Korhonen et al., 2018).</w:t>
      </w:r>
    </w:p>
    <w:p w14:paraId="4DB5F4DE" w14:textId="77777777" w:rsidR="00B93166" w:rsidRPr="00B93166" w:rsidRDefault="00B93166" w:rsidP="00A750D4">
      <w:pPr>
        <w:spacing w:after="120" w:line="276" w:lineRule="auto"/>
        <w:ind w:firstLine="360"/>
        <w:jc w:val="both"/>
        <w:rPr>
          <w:rFonts w:ascii="Book Antiqua" w:eastAsia="Book Antiqua" w:hAnsi="Book Antiqua" w:cs="Book Antiqua"/>
          <w:lang w:val="en-ID"/>
        </w:rPr>
      </w:pPr>
      <w:r w:rsidRPr="00B93166">
        <w:rPr>
          <w:rFonts w:ascii="Book Antiqua" w:eastAsia="Book Antiqua" w:hAnsi="Book Antiqua" w:cs="Book Antiqua"/>
          <w:lang w:val="en-ID"/>
        </w:rPr>
        <w:t>Selective coding resulted in the development of a Transformative Islamic Circular Economy Framework comprising five integrated components: (1) the Qur'an and Hadith as the epistemological foundation; (2) seven core Islamic values as normative principles; (3) circular economy strategies consisting of reduce, reuse, repair, recycle, recover, and regenerate; (4) collaborative governance involving government, businesses, Islamic financial institutions, regulators, and society; and (5) sustainability outcomes encompassing economic prosperity, social equity, environmental resilience, and intergenerational responsibility. Unlike the conventional Circular Economy, which primarily emphasizes material efficiency, this framework positions ethical transformation and spiritual accountability as the primary drivers of sustainability. Therefore, ICE should be recognized as a distinct theoretical paradigm that integrates theological, ethical, economic, social, and ecological dimensions, providing a robust conceptual foundation for future empirical research, policy formulation, and sustainability governance within Islamic economics.</w:t>
      </w:r>
    </w:p>
    <w:p w14:paraId="587FBD77" w14:textId="0D2A2654" w:rsidR="00B93166" w:rsidRPr="00B93166" w:rsidRDefault="00B93166" w:rsidP="00B93166">
      <w:pPr>
        <w:spacing w:line="276" w:lineRule="auto"/>
        <w:jc w:val="both"/>
        <w:rPr>
          <w:rFonts w:ascii="Book Antiqua" w:eastAsia="Book Antiqua" w:hAnsi="Book Antiqua" w:cs="Book Antiqua"/>
          <w:b/>
          <w:bCs/>
        </w:rPr>
      </w:pPr>
      <w:r w:rsidRPr="00B93166">
        <w:rPr>
          <w:rFonts w:ascii="Book Antiqua" w:eastAsia="Book Antiqua" w:hAnsi="Book Antiqua" w:cs="Book Antiqua"/>
          <w:b/>
          <w:bCs/>
        </w:rPr>
        <w:t>Discussion</w:t>
      </w:r>
    </w:p>
    <w:p w14:paraId="37946FBF" w14:textId="4B0D7E7E" w:rsidR="00B93166" w:rsidRPr="00B93166" w:rsidRDefault="00B93166" w:rsidP="00B93166">
      <w:pPr>
        <w:spacing w:line="276" w:lineRule="auto"/>
        <w:jc w:val="both"/>
        <w:rPr>
          <w:rFonts w:ascii="Book Antiqua" w:eastAsia="Book Antiqua" w:hAnsi="Book Antiqua" w:cs="Book Antiqua"/>
          <w:b/>
          <w:bCs/>
        </w:rPr>
      </w:pPr>
      <w:r w:rsidRPr="00B93166">
        <w:rPr>
          <w:rFonts w:ascii="Book Antiqua" w:eastAsia="Book Antiqua" w:hAnsi="Book Antiqua" w:cs="Book Antiqua"/>
          <w:b/>
          <w:bCs/>
        </w:rPr>
        <w:t>The Qur'an and Hadith as the Epistemological Foundation of Islamic Circular Economy</w:t>
      </w:r>
    </w:p>
    <w:p w14:paraId="548FD358" w14:textId="77777777" w:rsidR="00B93166" w:rsidRPr="00B93166" w:rsidRDefault="00B93166" w:rsidP="00A750D4">
      <w:pPr>
        <w:spacing w:line="276" w:lineRule="auto"/>
        <w:ind w:firstLine="360"/>
        <w:jc w:val="both"/>
        <w:rPr>
          <w:rFonts w:ascii="Book Antiqua" w:eastAsia="Book Antiqua" w:hAnsi="Book Antiqua" w:cs="Book Antiqua"/>
        </w:rPr>
      </w:pPr>
      <w:r w:rsidRPr="00B93166">
        <w:rPr>
          <w:rFonts w:ascii="Book Antiqua" w:eastAsia="Book Antiqua" w:hAnsi="Book Antiqua" w:cs="Book Antiqua"/>
        </w:rPr>
        <w:t>The findings reveal that the Islamic Circular Economy (ICE) remains theoretically fragmented and lacks a coherent epistemological foundation. Existing studies have predominantly adopted the Circular Economy (CE) framework while positioning Islamic principles merely as ethical complements rather than as the primary source of knowledge and normative guidance. Consequently, ICE has generally been conceptualized as an adaptation of conventional CE instead of an autonomous paradigm grounded in the Qur'an and Hadith. Addressing this gap, this study reconstructs ICE by integrating Islamic primary sources with contemporary sustainability scholarship, establishing Islamic revelation as the epistemological basis for circular economic practices (Geissdoerfer et al., 2017; Kirchherr et al., 2017).</w:t>
      </w:r>
    </w:p>
    <w:p w14:paraId="2CABB275" w14:textId="77777777" w:rsidR="00B93166" w:rsidRPr="00B93166" w:rsidRDefault="00B93166" w:rsidP="00A750D4">
      <w:pPr>
        <w:spacing w:line="276" w:lineRule="auto"/>
        <w:ind w:firstLine="360"/>
        <w:jc w:val="both"/>
        <w:rPr>
          <w:rFonts w:ascii="Book Antiqua" w:eastAsia="Book Antiqua" w:hAnsi="Book Antiqua" w:cs="Book Antiqua"/>
        </w:rPr>
      </w:pPr>
      <w:r w:rsidRPr="00B93166">
        <w:rPr>
          <w:rFonts w:ascii="Book Antiqua" w:eastAsia="Book Antiqua" w:hAnsi="Book Antiqua" w:cs="Book Antiqua"/>
        </w:rPr>
        <w:t>Open coding identified seven foundational values—tawhid, khalifah, amanah, mīzān, i</w:t>
      </w:r>
      <w:r w:rsidRPr="00B93166">
        <w:rPr>
          <w:rFonts w:ascii="Cambria" w:eastAsia="Book Antiqua" w:hAnsi="Cambria" w:cs="Cambria"/>
        </w:rPr>
        <w:t>ḥ</w:t>
      </w:r>
      <w:r w:rsidRPr="00B93166">
        <w:rPr>
          <w:rFonts w:ascii="Book Antiqua" w:eastAsia="Book Antiqua" w:hAnsi="Book Antiqua" w:cs="Book Antiqua"/>
        </w:rPr>
        <w:t>sān, ma</w:t>
      </w:r>
      <w:r w:rsidRPr="00B93166">
        <w:rPr>
          <w:rFonts w:ascii="Cambria" w:eastAsia="Book Antiqua" w:hAnsi="Cambria" w:cs="Cambria"/>
        </w:rPr>
        <w:t>ṣ</w:t>
      </w:r>
      <w:r w:rsidRPr="00B93166">
        <w:rPr>
          <w:rFonts w:ascii="Book Antiqua" w:eastAsia="Book Antiqua" w:hAnsi="Book Antiqua" w:cs="Book Antiqua"/>
        </w:rPr>
        <w:t>la</w:t>
      </w:r>
      <w:r w:rsidRPr="00B93166">
        <w:rPr>
          <w:rFonts w:ascii="Cambria" w:eastAsia="Book Antiqua" w:hAnsi="Cambria" w:cs="Cambria"/>
        </w:rPr>
        <w:t>ḥ</w:t>
      </w:r>
      <w:r w:rsidRPr="00B93166">
        <w:rPr>
          <w:rFonts w:ascii="Book Antiqua" w:eastAsia="Book Antiqua" w:hAnsi="Book Antiqua" w:cs="Book Antiqua"/>
        </w:rPr>
        <w:t xml:space="preserve">ah, and the prohibition of isrāf—which consistently emerged across the Qur'an, Hadith, and the academic literature. Axial coding further synthesized these values into three interrelated dimensions: theological foundation, ethical orientation, and resource governance. Together, these dimensions demonstrate that sustainability in Islam extends beyond resource efficiency to encompass ecological balance, moral </w:t>
      </w:r>
      <w:r w:rsidRPr="00B93166">
        <w:rPr>
          <w:rFonts w:ascii="Book Antiqua" w:eastAsia="Book Antiqua" w:hAnsi="Book Antiqua" w:cs="Book Antiqua"/>
        </w:rPr>
        <w:lastRenderedPageBreak/>
        <w:t>responsibility, and humanity's stewardship as God's vicegerent on Earth, as reflected in Al-Baqarah (2:30), Al-A'raf (7:56), Ar-Rahman (55:7–9), and Al-An'am (6:141).</w:t>
      </w:r>
    </w:p>
    <w:p w14:paraId="51EA0406" w14:textId="77777777" w:rsidR="00B93166" w:rsidRPr="00B93166" w:rsidRDefault="00B93166" w:rsidP="00A750D4">
      <w:pPr>
        <w:spacing w:line="276" w:lineRule="auto"/>
        <w:ind w:firstLine="360"/>
        <w:jc w:val="both"/>
        <w:rPr>
          <w:rFonts w:ascii="Book Antiqua" w:eastAsia="Book Antiqua" w:hAnsi="Book Antiqua" w:cs="Book Antiqua"/>
        </w:rPr>
      </w:pPr>
      <w:r w:rsidRPr="00B93166">
        <w:rPr>
          <w:rFonts w:ascii="Book Antiqua" w:eastAsia="Book Antiqua" w:hAnsi="Book Antiqua" w:cs="Book Antiqua"/>
        </w:rPr>
        <w:t>The analysis also demonstrates that Islamic values provide a normative foundation for operationalizing circular economy strategies. The principle of reduce embodies the prohibition of isrāf through moderation and responsible consumption, while reuse, repair, recycle, and recover reinforce resource optimization and environmental preservation by preventing fasād. Likewise, regenerate reflects the principle of i</w:t>
      </w:r>
      <w:r w:rsidRPr="00B93166">
        <w:rPr>
          <w:rFonts w:ascii="Cambria" w:eastAsia="Book Antiqua" w:hAnsi="Cambria" w:cs="Cambria"/>
        </w:rPr>
        <w:t>ṣ</w:t>
      </w:r>
      <w:r w:rsidRPr="00B93166">
        <w:rPr>
          <w:rFonts w:ascii="Book Antiqua" w:eastAsia="Book Antiqua" w:hAnsi="Book Antiqua" w:cs="Book Antiqua"/>
        </w:rPr>
        <w:t>lā</w:t>
      </w:r>
      <w:r w:rsidRPr="00B93166">
        <w:rPr>
          <w:rFonts w:ascii="Cambria" w:eastAsia="Book Antiqua" w:hAnsi="Cambria" w:cs="Cambria"/>
        </w:rPr>
        <w:t>ḥ</w:t>
      </w:r>
      <w:r w:rsidRPr="00B93166">
        <w:rPr>
          <w:rFonts w:ascii="Book Antiqua" w:eastAsia="Book Antiqua" w:hAnsi="Book Antiqua" w:cs="Book Antiqua"/>
        </w:rPr>
        <w:t>, emphasizing ecological restoration and long-term environmental resilience. Accordingly, ICE transcends the predominantly technical and efficiency-oriented orientation of conventional CE by integrating ethical transformation, institutional accountability, and social responsibility into sustainable resource governance (Korhonen et al., 2018).</w:t>
      </w:r>
    </w:p>
    <w:p w14:paraId="19A94C00" w14:textId="77777777" w:rsidR="00B93166" w:rsidRPr="00B93166" w:rsidRDefault="00B93166" w:rsidP="00A750D4">
      <w:pPr>
        <w:spacing w:after="120" w:line="276" w:lineRule="auto"/>
        <w:ind w:firstLine="360"/>
        <w:jc w:val="both"/>
        <w:rPr>
          <w:rFonts w:ascii="Book Antiqua" w:eastAsia="Book Antiqua" w:hAnsi="Book Antiqua" w:cs="Book Antiqua"/>
        </w:rPr>
      </w:pPr>
      <w:r w:rsidRPr="00B93166">
        <w:rPr>
          <w:rFonts w:ascii="Book Antiqua" w:eastAsia="Book Antiqua" w:hAnsi="Book Antiqua" w:cs="Book Antiqua"/>
        </w:rPr>
        <w:t>Selective coding generated a Transformative Islamic Circular Economy Framework consisting of five interconnected components: Islamic revelation as the epistemological foundation; seven core Islamic values as normative principles; circular strategies comprising reduce, reuse, repair, recycle, recover, and regenerate; collaborative governance involving governments, businesses, Islamic financial institutions, regulators, and communities; and sustainability outcomes integrating economic prosperity, social justice, environmental integrity, and intergenerational responsibility. This framework positions spiritual accountability and ethical transformation as the driving forces of sustainable development. Therefore, ICE should be recognized as a distinct theoretical paradigm rooted in Islamic epistemology that advances both circular economy scholarship and Islamic economics while providing a rigorous conceptual foundation for future empirical research, policy formulation, and sustainability governance.</w:t>
      </w:r>
    </w:p>
    <w:p w14:paraId="0ED54C1B" w14:textId="73CB5574" w:rsidR="00B93166" w:rsidRPr="00B93166" w:rsidRDefault="00B93166" w:rsidP="00B93166">
      <w:pPr>
        <w:spacing w:line="276" w:lineRule="auto"/>
        <w:jc w:val="both"/>
        <w:rPr>
          <w:rFonts w:ascii="Book Antiqua" w:eastAsia="Book Antiqua" w:hAnsi="Book Antiqua" w:cs="Book Antiqua"/>
          <w:b/>
          <w:bCs/>
        </w:rPr>
      </w:pPr>
      <w:r w:rsidRPr="00B93166">
        <w:rPr>
          <w:rFonts w:ascii="Book Antiqua" w:eastAsia="Book Antiqua" w:hAnsi="Book Antiqua" w:cs="Book Antiqua"/>
          <w:b/>
          <w:bCs/>
        </w:rPr>
        <w:t>Alignment between Qur'anic-Hadith Principles and Circular Economy Concepts</w:t>
      </w:r>
    </w:p>
    <w:p w14:paraId="27D572D0" w14:textId="77777777" w:rsidR="00B93166" w:rsidRPr="00B93166" w:rsidRDefault="00B93166" w:rsidP="00B93166">
      <w:pPr>
        <w:spacing w:line="276" w:lineRule="auto"/>
        <w:ind w:firstLine="360"/>
        <w:jc w:val="both"/>
        <w:rPr>
          <w:rFonts w:ascii="Book Antiqua" w:eastAsia="Book Antiqua" w:hAnsi="Book Antiqua" w:cs="Book Antiqua"/>
        </w:rPr>
      </w:pPr>
      <w:r w:rsidRPr="00B93166">
        <w:rPr>
          <w:rFonts w:ascii="Book Antiqua" w:eastAsia="Book Antiqua" w:hAnsi="Book Antiqua" w:cs="Book Antiqua"/>
        </w:rPr>
        <w:t>The thematic synthesis reveals a substantial conceptual convergence between Circular Economy (CE) principles and the ethical worldview of Islam. Core CE strategies—reduce, reuse, recycle, recover, and regenerate—are intrinsically reflected in Qur'anic and Prophetic teachings through the principles of isrāf, amānah, khalīfah, ma</w:t>
      </w:r>
      <w:r w:rsidRPr="00B93166">
        <w:rPr>
          <w:rFonts w:ascii="Cambria" w:eastAsia="Book Antiqua" w:hAnsi="Cambria" w:cs="Cambria"/>
        </w:rPr>
        <w:t>ṣ</w:t>
      </w:r>
      <w:r w:rsidRPr="00B93166">
        <w:rPr>
          <w:rFonts w:ascii="Book Antiqua" w:eastAsia="Book Antiqua" w:hAnsi="Book Antiqua" w:cs="Book Antiqua"/>
        </w:rPr>
        <w:t>la</w:t>
      </w:r>
      <w:r w:rsidRPr="00B93166">
        <w:rPr>
          <w:rFonts w:ascii="Cambria" w:eastAsia="Book Antiqua" w:hAnsi="Cambria" w:cs="Cambria"/>
        </w:rPr>
        <w:t>ḥ</w:t>
      </w:r>
      <w:r w:rsidRPr="00B93166">
        <w:rPr>
          <w:rFonts w:ascii="Book Antiqua" w:eastAsia="Book Antiqua" w:hAnsi="Book Antiqua" w:cs="Book Antiqua"/>
        </w:rPr>
        <w:t>ah, i</w:t>
      </w:r>
      <w:r w:rsidRPr="00B93166">
        <w:rPr>
          <w:rFonts w:ascii="Cambria" w:eastAsia="Book Antiqua" w:hAnsi="Cambria" w:cs="Cambria"/>
        </w:rPr>
        <w:t>ṣ</w:t>
      </w:r>
      <w:r w:rsidRPr="00B93166">
        <w:rPr>
          <w:rFonts w:ascii="Book Antiqua" w:eastAsia="Book Antiqua" w:hAnsi="Book Antiqua" w:cs="Book Antiqua"/>
        </w:rPr>
        <w:t>lā</w:t>
      </w:r>
      <w:r w:rsidRPr="00B93166">
        <w:rPr>
          <w:rFonts w:ascii="Cambria" w:eastAsia="Book Antiqua" w:hAnsi="Cambria" w:cs="Cambria"/>
        </w:rPr>
        <w:t>ḥ</w:t>
      </w:r>
      <w:r w:rsidRPr="00B93166">
        <w:rPr>
          <w:rFonts w:ascii="Book Antiqua" w:eastAsia="Book Antiqua" w:hAnsi="Book Antiqua" w:cs="Book Antiqua"/>
        </w:rPr>
        <w:t>, mīzān, and taw</w:t>
      </w:r>
      <w:r w:rsidRPr="00B93166">
        <w:rPr>
          <w:rFonts w:ascii="Cambria" w:eastAsia="Book Antiqua" w:hAnsi="Cambria" w:cs="Cambria"/>
        </w:rPr>
        <w:t>ḥ</w:t>
      </w:r>
      <w:r w:rsidRPr="00B93166">
        <w:rPr>
          <w:rFonts w:ascii="Book Antiqua" w:eastAsia="Book Antiqua" w:hAnsi="Book Antiqua" w:cs="Book Antiqua"/>
        </w:rPr>
        <w:t>īd. While CE primarily promotes resource efficiency and closed-loop production, Islamic teachings provide a broader normative framework that integrates environmental stewardship with justice, moral responsibility, and accountability before God. Thus, sustainability is understood not merely as a technical objective but as a religious and ethical obligation.</w:t>
      </w:r>
    </w:p>
    <w:p w14:paraId="6B92FFDB" w14:textId="5A9A38C7" w:rsidR="00B93166" w:rsidRPr="00B93166" w:rsidRDefault="00B93166" w:rsidP="00A750D4">
      <w:pPr>
        <w:spacing w:after="120" w:line="276" w:lineRule="auto"/>
        <w:ind w:firstLine="360"/>
        <w:jc w:val="both"/>
        <w:rPr>
          <w:rFonts w:ascii="Book Antiqua" w:eastAsia="Book Antiqua" w:hAnsi="Book Antiqua" w:cs="Book Antiqua"/>
        </w:rPr>
      </w:pPr>
      <w:r w:rsidRPr="00B93166">
        <w:rPr>
          <w:rFonts w:ascii="Book Antiqua" w:eastAsia="Book Antiqua" w:hAnsi="Book Antiqua" w:cs="Book Antiqua"/>
        </w:rPr>
        <w:t>These findings extend previous CE scholarship by demonstrating that behavioral transformation is more likely to be sustained when supported by intrinsic spiritual values rather than external regulations alone. Within the Islamic worldview, responsible production, sustainable consumption, ecosystem restoration, and equitable resource distribution constitute acts of stewardship (khalīfah) and worship. Consequently, Islamic ethics complement the predominantly economic and technological orientation of conventional CE models by embedding sustainability within a comprehensive moral framework. This synthesis suggests that the Qur'an and Hadith provide not only ethical justification but also governance principles that strengthen the long-term implementation of CE. The conceptual correspondence between CE principles and Islamic teachings is summarized in Table 3.</w:t>
      </w:r>
    </w:p>
    <w:p w14:paraId="168217B2" w14:textId="77777777" w:rsidR="00A750D4" w:rsidRDefault="00A750D4" w:rsidP="00A750D4">
      <w:pPr>
        <w:spacing w:line="276" w:lineRule="auto"/>
        <w:jc w:val="center"/>
        <w:rPr>
          <w:rFonts w:ascii="Book Antiqua" w:eastAsia="Book Antiqua" w:hAnsi="Book Antiqua" w:cs="Book Antiqua"/>
          <w:b/>
          <w:bCs/>
        </w:rPr>
      </w:pPr>
    </w:p>
    <w:p w14:paraId="318E1C71" w14:textId="77777777" w:rsidR="00A750D4" w:rsidRDefault="00A750D4" w:rsidP="00A750D4">
      <w:pPr>
        <w:spacing w:line="276" w:lineRule="auto"/>
        <w:jc w:val="center"/>
        <w:rPr>
          <w:rFonts w:ascii="Book Antiqua" w:eastAsia="Book Antiqua" w:hAnsi="Book Antiqua" w:cs="Book Antiqua"/>
          <w:b/>
          <w:bCs/>
        </w:rPr>
      </w:pPr>
    </w:p>
    <w:p w14:paraId="13A691E8" w14:textId="77777777" w:rsidR="00A750D4" w:rsidRDefault="00A750D4" w:rsidP="00A750D4">
      <w:pPr>
        <w:spacing w:line="276" w:lineRule="auto"/>
        <w:jc w:val="center"/>
        <w:rPr>
          <w:rFonts w:ascii="Book Antiqua" w:eastAsia="Book Antiqua" w:hAnsi="Book Antiqua" w:cs="Book Antiqua"/>
          <w:b/>
          <w:bCs/>
        </w:rPr>
      </w:pPr>
    </w:p>
    <w:p w14:paraId="1D097699" w14:textId="77777777" w:rsidR="00A750D4" w:rsidRDefault="00A750D4" w:rsidP="00A750D4">
      <w:pPr>
        <w:spacing w:line="276" w:lineRule="auto"/>
        <w:jc w:val="center"/>
        <w:rPr>
          <w:rFonts w:ascii="Book Antiqua" w:eastAsia="Book Antiqua" w:hAnsi="Book Antiqua" w:cs="Book Antiqua"/>
          <w:b/>
          <w:bCs/>
        </w:rPr>
      </w:pPr>
    </w:p>
    <w:p w14:paraId="177D0591" w14:textId="77777777" w:rsidR="00A750D4" w:rsidRDefault="00A750D4" w:rsidP="00A750D4">
      <w:pPr>
        <w:spacing w:line="276" w:lineRule="auto"/>
        <w:jc w:val="center"/>
        <w:rPr>
          <w:rFonts w:ascii="Book Antiqua" w:eastAsia="Book Antiqua" w:hAnsi="Book Antiqua" w:cs="Book Antiqua"/>
          <w:b/>
          <w:bCs/>
        </w:rPr>
      </w:pPr>
    </w:p>
    <w:p w14:paraId="0D9437E4" w14:textId="77777777" w:rsidR="00A750D4" w:rsidRDefault="00A750D4" w:rsidP="00A750D4">
      <w:pPr>
        <w:spacing w:line="276" w:lineRule="auto"/>
        <w:jc w:val="center"/>
        <w:rPr>
          <w:rFonts w:ascii="Book Antiqua" w:eastAsia="Book Antiqua" w:hAnsi="Book Antiqua" w:cs="Book Antiqua"/>
          <w:b/>
          <w:bCs/>
        </w:rPr>
      </w:pPr>
    </w:p>
    <w:p w14:paraId="126BB037" w14:textId="77777777" w:rsidR="00A750D4" w:rsidRDefault="00A750D4" w:rsidP="00A750D4">
      <w:pPr>
        <w:spacing w:line="276" w:lineRule="auto"/>
        <w:jc w:val="center"/>
        <w:rPr>
          <w:rFonts w:ascii="Book Antiqua" w:eastAsia="Book Antiqua" w:hAnsi="Book Antiqua" w:cs="Book Antiqua"/>
          <w:b/>
          <w:bCs/>
        </w:rPr>
      </w:pPr>
    </w:p>
    <w:p w14:paraId="04265E50" w14:textId="0A30EFC9" w:rsidR="00B93166" w:rsidRPr="00B93166" w:rsidRDefault="00B93166" w:rsidP="00A750D4">
      <w:pPr>
        <w:spacing w:line="276" w:lineRule="auto"/>
        <w:jc w:val="center"/>
        <w:rPr>
          <w:rFonts w:ascii="Book Antiqua" w:eastAsia="Book Antiqua" w:hAnsi="Book Antiqua" w:cs="Book Antiqua"/>
          <w:b/>
          <w:bCs/>
        </w:rPr>
      </w:pPr>
      <w:r w:rsidRPr="00B93166">
        <w:rPr>
          <w:rFonts w:ascii="Book Antiqua" w:eastAsia="Book Antiqua" w:hAnsi="Book Antiqua" w:cs="Book Antiqua"/>
          <w:b/>
          <w:bCs/>
        </w:rPr>
        <w:lastRenderedPageBreak/>
        <w:t>Table 3. Correspondence between Circular Economy Principles and Islamic Teachings</w:t>
      </w:r>
    </w:p>
    <w:tbl>
      <w:tblPr>
        <w:tblStyle w:val="TableGrid4"/>
        <w:tblW w:w="0" w:type="auto"/>
        <w:jc w:val="center"/>
        <w:tblLook w:val="04A0" w:firstRow="1" w:lastRow="0" w:firstColumn="1" w:lastColumn="0" w:noHBand="0" w:noVBand="1"/>
      </w:tblPr>
      <w:tblGrid>
        <w:gridCol w:w="1435"/>
        <w:gridCol w:w="1350"/>
        <w:gridCol w:w="2970"/>
        <w:gridCol w:w="3060"/>
      </w:tblGrid>
      <w:tr w:rsidR="00B93166" w:rsidRPr="00B93166" w14:paraId="744AE59D" w14:textId="77777777" w:rsidTr="00A750D4">
        <w:trPr>
          <w:jc w:val="center"/>
        </w:trPr>
        <w:tc>
          <w:tcPr>
            <w:tcW w:w="1435" w:type="dxa"/>
          </w:tcPr>
          <w:p w14:paraId="4EFCE3F3" w14:textId="77777777" w:rsidR="00B93166" w:rsidRPr="00B93166" w:rsidRDefault="00B93166" w:rsidP="00A750D4">
            <w:pPr>
              <w:jc w:val="center"/>
              <w:rPr>
                <w:rFonts w:ascii="Book Antiqua" w:hAnsi="Book Antiqua" w:cs="Times New Roman"/>
                <w:sz w:val="20"/>
                <w:szCs w:val="20"/>
                <w:lang w:val="en-ID"/>
              </w:rPr>
            </w:pPr>
            <w:r w:rsidRPr="00B93166">
              <w:rPr>
                <w:rFonts w:ascii="Book Antiqua" w:hAnsi="Book Antiqua" w:cs="Times New Roman"/>
                <w:b/>
                <w:bCs/>
                <w:sz w:val="20"/>
                <w:szCs w:val="20"/>
                <w:lang w:val="en-ID"/>
              </w:rPr>
              <w:t>Circular Economy Principle</w:t>
            </w:r>
          </w:p>
        </w:tc>
        <w:tc>
          <w:tcPr>
            <w:tcW w:w="1350" w:type="dxa"/>
          </w:tcPr>
          <w:p w14:paraId="56C1D227" w14:textId="77777777" w:rsidR="00B93166" w:rsidRPr="00B93166" w:rsidRDefault="00B93166" w:rsidP="00A750D4">
            <w:pPr>
              <w:jc w:val="center"/>
              <w:rPr>
                <w:rFonts w:ascii="Book Antiqua" w:hAnsi="Book Antiqua" w:cs="Times New Roman"/>
                <w:sz w:val="20"/>
                <w:szCs w:val="20"/>
                <w:lang w:val="en-ID"/>
              </w:rPr>
            </w:pPr>
            <w:r w:rsidRPr="00B93166">
              <w:rPr>
                <w:rFonts w:ascii="Book Antiqua" w:hAnsi="Book Antiqua" w:cs="Times New Roman"/>
                <w:b/>
                <w:bCs/>
                <w:sz w:val="20"/>
                <w:szCs w:val="20"/>
                <w:lang w:val="en-ID"/>
              </w:rPr>
              <w:t>Islamic Principle</w:t>
            </w:r>
          </w:p>
        </w:tc>
        <w:tc>
          <w:tcPr>
            <w:tcW w:w="2970" w:type="dxa"/>
          </w:tcPr>
          <w:p w14:paraId="64A7F9D5" w14:textId="77777777" w:rsidR="00B93166" w:rsidRPr="00B93166" w:rsidRDefault="00B93166" w:rsidP="00A750D4">
            <w:pPr>
              <w:jc w:val="center"/>
              <w:rPr>
                <w:rFonts w:ascii="Book Antiqua" w:hAnsi="Book Antiqua" w:cs="Times New Roman"/>
                <w:sz w:val="20"/>
                <w:szCs w:val="20"/>
                <w:lang w:val="en-ID"/>
              </w:rPr>
            </w:pPr>
            <w:r w:rsidRPr="00B93166">
              <w:rPr>
                <w:rFonts w:ascii="Book Antiqua" w:hAnsi="Book Antiqua" w:cs="Times New Roman"/>
                <w:b/>
                <w:bCs/>
                <w:sz w:val="20"/>
                <w:szCs w:val="20"/>
                <w:lang w:val="en-ID"/>
              </w:rPr>
              <w:t>Qur'anic–Hadith Value</w:t>
            </w:r>
          </w:p>
        </w:tc>
        <w:tc>
          <w:tcPr>
            <w:tcW w:w="3060" w:type="dxa"/>
          </w:tcPr>
          <w:p w14:paraId="1B284E27" w14:textId="77777777" w:rsidR="00B93166" w:rsidRPr="00B93166" w:rsidRDefault="00B93166" w:rsidP="00A750D4">
            <w:pPr>
              <w:jc w:val="center"/>
              <w:rPr>
                <w:rFonts w:ascii="Book Antiqua" w:hAnsi="Book Antiqua" w:cs="Times New Roman"/>
                <w:sz w:val="20"/>
                <w:szCs w:val="20"/>
                <w:lang w:val="en-ID"/>
              </w:rPr>
            </w:pPr>
            <w:r w:rsidRPr="00B93166">
              <w:rPr>
                <w:rFonts w:ascii="Book Antiqua" w:hAnsi="Book Antiqua" w:cs="Times New Roman"/>
                <w:b/>
                <w:bCs/>
                <w:sz w:val="20"/>
                <w:szCs w:val="20"/>
                <w:lang w:val="en-ID"/>
              </w:rPr>
              <w:t>Sustainability Contribution</w:t>
            </w:r>
          </w:p>
        </w:tc>
      </w:tr>
      <w:tr w:rsidR="00B93166" w:rsidRPr="00B93166" w14:paraId="36489AE6" w14:textId="77777777" w:rsidTr="00A750D4">
        <w:trPr>
          <w:jc w:val="center"/>
        </w:trPr>
        <w:tc>
          <w:tcPr>
            <w:tcW w:w="1435" w:type="dxa"/>
            <w:vAlign w:val="center"/>
          </w:tcPr>
          <w:p w14:paraId="7857A1C2"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Reduce</w:t>
            </w:r>
          </w:p>
        </w:tc>
        <w:tc>
          <w:tcPr>
            <w:tcW w:w="1350" w:type="dxa"/>
            <w:vAlign w:val="center"/>
          </w:tcPr>
          <w:p w14:paraId="54E574B4"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 xml:space="preserve">Prohibition of </w:t>
            </w:r>
            <w:r w:rsidRPr="00B93166">
              <w:rPr>
                <w:rFonts w:ascii="Book Antiqua" w:hAnsi="Book Antiqua" w:cs="Times New Roman"/>
                <w:i/>
                <w:iCs/>
                <w:sz w:val="20"/>
                <w:szCs w:val="20"/>
                <w:lang w:val="en-ID"/>
              </w:rPr>
              <w:t>Isrāf</w:t>
            </w:r>
          </w:p>
        </w:tc>
        <w:tc>
          <w:tcPr>
            <w:tcW w:w="2970" w:type="dxa"/>
            <w:vAlign w:val="center"/>
          </w:tcPr>
          <w:p w14:paraId="01BB0685"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Moderation in consumption</w:t>
            </w:r>
          </w:p>
        </w:tc>
        <w:tc>
          <w:tcPr>
            <w:tcW w:w="3060" w:type="dxa"/>
            <w:vAlign w:val="center"/>
          </w:tcPr>
          <w:p w14:paraId="7EF5C9B8"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Waste minimization</w:t>
            </w:r>
          </w:p>
        </w:tc>
      </w:tr>
      <w:tr w:rsidR="00B93166" w:rsidRPr="00B93166" w14:paraId="0471BCD8" w14:textId="77777777" w:rsidTr="00A750D4">
        <w:trPr>
          <w:jc w:val="center"/>
        </w:trPr>
        <w:tc>
          <w:tcPr>
            <w:tcW w:w="1435" w:type="dxa"/>
            <w:vAlign w:val="center"/>
          </w:tcPr>
          <w:p w14:paraId="1A6B281F"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Reuse</w:t>
            </w:r>
          </w:p>
        </w:tc>
        <w:tc>
          <w:tcPr>
            <w:tcW w:w="1350" w:type="dxa"/>
            <w:vAlign w:val="center"/>
          </w:tcPr>
          <w:p w14:paraId="1BEEFA71"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i/>
                <w:iCs/>
                <w:sz w:val="20"/>
                <w:szCs w:val="20"/>
                <w:lang w:val="en-ID"/>
              </w:rPr>
              <w:t>Amānah</w:t>
            </w:r>
          </w:p>
        </w:tc>
        <w:tc>
          <w:tcPr>
            <w:tcW w:w="2970" w:type="dxa"/>
            <w:vAlign w:val="center"/>
          </w:tcPr>
          <w:p w14:paraId="3A0A77F9"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Responsible utilization of resources</w:t>
            </w:r>
          </w:p>
        </w:tc>
        <w:tc>
          <w:tcPr>
            <w:tcW w:w="3060" w:type="dxa"/>
            <w:vAlign w:val="center"/>
          </w:tcPr>
          <w:p w14:paraId="3EA96AC4"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Resource efficiency</w:t>
            </w:r>
          </w:p>
        </w:tc>
      </w:tr>
      <w:tr w:rsidR="00B93166" w:rsidRPr="00B93166" w14:paraId="361277F2" w14:textId="77777777" w:rsidTr="00A750D4">
        <w:trPr>
          <w:jc w:val="center"/>
        </w:trPr>
        <w:tc>
          <w:tcPr>
            <w:tcW w:w="1435" w:type="dxa"/>
            <w:vAlign w:val="center"/>
          </w:tcPr>
          <w:p w14:paraId="1A666391"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Recycle</w:t>
            </w:r>
          </w:p>
        </w:tc>
        <w:tc>
          <w:tcPr>
            <w:tcW w:w="1350" w:type="dxa"/>
            <w:vAlign w:val="center"/>
          </w:tcPr>
          <w:p w14:paraId="650674E2"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i/>
                <w:iCs/>
                <w:sz w:val="20"/>
                <w:szCs w:val="20"/>
                <w:lang w:val="en-ID"/>
              </w:rPr>
              <w:t>Khalīfah</w:t>
            </w:r>
          </w:p>
        </w:tc>
        <w:tc>
          <w:tcPr>
            <w:tcW w:w="2970" w:type="dxa"/>
            <w:vAlign w:val="center"/>
          </w:tcPr>
          <w:p w14:paraId="43BEFFAE"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Sustainable resource management</w:t>
            </w:r>
          </w:p>
        </w:tc>
        <w:tc>
          <w:tcPr>
            <w:tcW w:w="3060" w:type="dxa"/>
            <w:vAlign w:val="center"/>
          </w:tcPr>
          <w:p w14:paraId="1163A08A"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Circular resource use</w:t>
            </w:r>
          </w:p>
        </w:tc>
      </w:tr>
      <w:tr w:rsidR="00B93166" w:rsidRPr="00B93166" w14:paraId="3C2CCB7F" w14:textId="77777777" w:rsidTr="00A750D4">
        <w:trPr>
          <w:jc w:val="center"/>
        </w:trPr>
        <w:tc>
          <w:tcPr>
            <w:tcW w:w="1435" w:type="dxa"/>
            <w:vAlign w:val="center"/>
          </w:tcPr>
          <w:p w14:paraId="7D904006"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Recover</w:t>
            </w:r>
          </w:p>
        </w:tc>
        <w:tc>
          <w:tcPr>
            <w:tcW w:w="1350" w:type="dxa"/>
            <w:vAlign w:val="center"/>
          </w:tcPr>
          <w:p w14:paraId="21F52077"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i/>
                <w:iCs/>
                <w:sz w:val="20"/>
                <w:szCs w:val="20"/>
                <w:lang w:val="en-ID"/>
              </w:rPr>
              <w:t>Ma</w:t>
            </w:r>
            <w:r w:rsidRPr="00B93166">
              <w:rPr>
                <w:rFonts w:ascii="Cambria" w:hAnsi="Cambria" w:cs="Cambria"/>
                <w:i/>
                <w:iCs/>
                <w:sz w:val="20"/>
                <w:szCs w:val="20"/>
                <w:lang w:val="en-ID"/>
              </w:rPr>
              <w:t>ṣ</w:t>
            </w:r>
            <w:r w:rsidRPr="00B93166">
              <w:rPr>
                <w:rFonts w:ascii="Book Antiqua" w:hAnsi="Book Antiqua" w:cs="Times New Roman"/>
                <w:i/>
                <w:iCs/>
                <w:sz w:val="20"/>
                <w:szCs w:val="20"/>
                <w:lang w:val="en-ID"/>
              </w:rPr>
              <w:t>la</w:t>
            </w:r>
            <w:r w:rsidRPr="00B93166">
              <w:rPr>
                <w:rFonts w:ascii="Cambria" w:hAnsi="Cambria" w:cs="Cambria"/>
                <w:i/>
                <w:iCs/>
                <w:sz w:val="20"/>
                <w:szCs w:val="20"/>
                <w:lang w:val="en-ID"/>
              </w:rPr>
              <w:t>ḥ</w:t>
            </w:r>
            <w:r w:rsidRPr="00B93166">
              <w:rPr>
                <w:rFonts w:ascii="Book Antiqua" w:hAnsi="Book Antiqua" w:cs="Times New Roman"/>
                <w:i/>
                <w:iCs/>
                <w:sz w:val="20"/>
                <w:szCs w:val="20"/>
                <w:lang w:val="en-ID"/>
              </w:rPr>
              <w:t>ah</w:t>
            </w:r>
          </w:p>
        </w:tc>
        <w:tc>
          <w:tcPr>
            <w:tcW w:w="2970" w:type="dxa"/>
            <w:vAlign w:val="center"/>
          </w:tcPr>
          <w:p w14:paraId="53EB397D"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Public benefit and value preservation</w:t>
            </w:r>
          </w:p>
        </w:tc>
        <w:tc>
          <w:tcPr>
            <w:tcW w:w="3060" w:type="dxa"/>
            <w:vAlign w:val="center"/>
          </w:tcPr>
          <w:p w14:paraId="02095C76"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Economic and social resilience</w:t>
            </w:r>
          </w:p>
        </w:tc>
      </w:tr>
      <w:tr w:rsidR="00B93166" w:rsidRPr="00B93166" w14:paraId="4788BC26" w14:textId="77777777" w:rsidTr="00A750D4">
        <w:trPr>
          <w:jc w:val="center"/>
        </w:trPr>
        <w:tc>
          <w:tcPr>
            <w:tcW w:w="1435" w:type="dxa"/>
            <w:vAlign w:val="center"/>
          </w:tcPr>
          <w:p w14:paraId="1D879C8F"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Regenerate</w:t>
            </w:r>
          </w:p>
        </w:tc>
        <w:tc>
          <w:tcPr>
            <w:tcW w:w="1350" w:type="dxa"/>
            <w:vAlign w:val="center"/>
          </w:tcPr>
          <w:p w14:paraId="768DE71F"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i/>
                <w:iCs/>
                <w:sz w:val="20"/>
                <w:szCs w:val="20"/>
                <w:lang w:val="en-ID"/>
              </w:rPr>
              <w:t>I</w:t>
            </w:r>
            <w:r w:rsidRPr="00B93166">
              <w:rPr>
                <w:rFonts w:ascii="Cambria" w:hAnsi="Cambria" w:cs="Cambria"/>
                <w:i/>
                <w:iCs/>
                <w:sz w:val="20"/>
                <w:szCs w:val="20"/>
                <w:lang w:val="en-ID"/>
              </w:rPr>
              <w:t>ṣ</w:t>
            </w:r>
            <w:r w:rsidRPr="00B93166">
              <w:rPr>
                <w:rFonts w:ascii="Book Antiqua" w:hAnsi="Book Antiqua" w:cs="Times New Roman"/>
                <w:i/>
                <w:iCs/>
                <w:sz w:val="20"/>
                <w:szCs w:val="20"/>
                <w:lang w:val="en-ID"/>
              </w:rPr>
              <w:t>l</w:t>
            </w:r>
            <w:r w:rsidRPr="00B93166">
              <w:rPr>
                <w:rFonts w:ascii="Book Antiqua" w:hAnsi="Book Antiqua" w:cs="Garamond"/>
                <w:i/>
                <w:iCs/>
                <w:sz w:val="20"/>
                <w:szCs w:val="20"/>
                <w:lang w:val="en-ID"/>
              </w:rPr>
              <w:t>ā</w:t>
            </w:r>
            <w:r w:rsidRPr="00B93166">
              <w:rPr>
                <w:rFonts w:ascii="Cambria" w:hAnsi="Cambria" w:cs="Cambria"/>
                <w:i/>
                <w:iCs/>
                <w:sz w:val="20"/>
                <w:szCs w:val="20"/>
                <w:lang w:val="en-ID"/>
              </w:rPr>
              <w:t>ḥ</w:t>
            </w:r>
          </w:p>
        </w:tc>
        <w:tc>
          <w:tcPr>
            <w:tcW w:w="2970" w:type="dxa"/>
            <w:vAlign w:val="center"/>
          </w:tcPr>
          <w:p w14:paraId="3CE893E9"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Environmental restoration</w:t>
            </w:r>
          </w:p>
        </w:tc>
        <w:tc>
          <w:tcPr>
            <w:tcW w:w="3060" w:type="dxa"/>
            <w:vAlign w:val="center"/>
          </w:tcPr>
          <w:p w14:paraId="417F3107"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Ecosystem regeneration</w:t>
            </w:r>
          </w:p>
        </w:tc>
      </w:tr>
      <w:tr w:rsidR="00B93166" w:rsidRPr="00B93166" w14:paraId="5FFE92C8" w14:textId="77777777" w:rsidTr="00A750D4">
        <w:trPr>
          <w:jc w:val="center"/>
        </w:trPr>
        <w:tc>
          <w:tcPr>
            <w:tcW w:w="1435" w:type="dxa"/>
            <w:vAlign w:val="center"/>
          </w:tcPr>
          <w:p w14:paraId="63A6D924"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System Balance</w:t>
            </w:r>
          </w:p>
        </w:tc>
        <w:tc>
          <w:tcPr>
            <w:tcW w:w="1350" w:type="dxa"/>
            <w:vAlign w:val="center"/>
          </w:tcPr>
          <w:p w14:paraId="12E52408"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i/>
                <w:iCs/>
                <w:sz w:val="20"/>
                <w:szCs w:val="20"/>
                <w:lang w:val="en-ID"/>
              </w:rPr>
              <w:t>Mīzān</w:t>
            </w:r>
          </w:p>
        </w:tc>
        <w:tc>
          <w:tcPr>
            <w:tcW w:w="2970" w:type="dxa"/>
            <w:vAlign w:val="center"/>
          </w:tcPr>
          <w:p w14:paraId="7BA3F43C"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Ecological balance and justice</w:t>
            </w:r>
          </w:p>
        </w:tc>
        <w:tc>
          <w:tcPr>
            <w:tcW w:w="3060" w:type="dxa"/>
            <w:vAlign w:val="center"/>
          </w:tcPr>
          <w:p w14:paraId="5BDD9DE0"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Long-term sustainability</w:t>
            </w:r>
          </w:p>
        </w:tc>
      </w:tr>
      <w:tr w:rsidR="00B93166" w:rsidRPr="00B93166" w14:paraId="70A291BF" w14:textId="77777777" w:rsidTr="00A750D4">
        <w:trPr>
          <w:jc w:val="center"/>
        </w:trPr>
        <w:tc>
          <w:tcPr>
            <w:tcW w:w="1435" w:type="dxa"/>
            <w:vAlign w:val="center"/>
          </w:tcPr>
          <w:p w14:paraId="4451FEE3"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Governance</w:t>
            </w:r>
          </w:p>
        </w:tc>
        <w:tc>
          <w:tcPr>
            <w:tcW w:w="1350" w:type="dxa"/>
            <w:vAlign w:val="center"/>
          </w:tcPr>
          <w:p w14:paraId="18AC2A73"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i/>
                <w:iCs/>
                <w:sz w:val="20"/>
                <w:szCs w:val="20"/>
                <w:lang w:val="en-ID"/>
              </w:rPr>
              <w:t>Taw</w:t>
            </w:r>
            <w:r w:rsidRPr="00B93166">
              <w:rPr>
                <w:rFonts w:ascii="Cambria" w:hAnsi="Cambria" w:cs="Cambria"/>
                <w:i/>
                <w:iCs/>
                <w:sz w:val="20"/>
                <w:szCs w:val="20"/>
                <w:lang w:val="en-ID"/>
              </w:rPr>
              <w:t>ḥ</w:t>
            </w:r>
            <w:r w:rsidRPr="00B93166">
              <w:rPr>
                <w:rFonts w:ascii="Book Antiqua" w:hAnsi="Book Antiqua" w:cs="Garamond"/>
                <w:i/>
                <w:iCs/>
                <w:sz w:val="20"/>
                <w:szCs w:val="20"/>
                <w:lang w:val="en-ID"/>
              </w:rPr>
              <w:t>ī</w:t>
            </w:r>
            <w:r w:rsidRPr="00B93166">
              <w:rPr>
                <w:rFonts w:ascii="Book Antiqua" w:hAnsi="Book Antiqua" w:cs="Times New Roman"/>
                <w:i/>
                <w:iCs/>
                <w:sz w:val="20"/>
                <w:szCs w:val="20"/>
                <w:lang w:val="en-ID"/>
              </w:rPr>
              <w:t>d</w:t>
            </w:r>
          </w:p>
        </w:tc>
        <w:tc>
          <w:tcPr>
            <w:tcW w:w="2970" w:type="dxa"/>
            <w:vAlign w:val="center"/>
          </w:tcPr>
          <w:p w14:paraId="1FE54B68"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Accountability to Allah</w:t>
            </w:r>
          </w:p>
        </w:tc>
        <w:tc>
          <w:tcPr>
            <w:tcW w:w="3060" w:type="dxa"/>
            <w:vAlign w:val="center"/>
          </w:tcPr>
          <w:p w14:paraId="3A8A8F27"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Ethical environmental governance</w:t>
            </w:r>
          </w:p>
        </w:tc>
      </w:tr>
    </w:tbl>
    <w:p w14:paraId="27BE50A3" w14:textId="77777777" w:rsidR="00B93166" w:rsidRPr="00B93166" w:rsidRDefault="00B93166" w:rsidP="00B93166">
      <w:pPr>
        <w:spacing w:line="276" w:lineRule="auto"/>
        <w:ind w:firstLine="360"/>
        <w:jc w:val="both"/>
        <w:rPr>
          <w:rFonts w:ascii="Book Antiqua" w:eastAsia="Book Antiqua" w:hAnsi="Book Antiqua" w:cs="Book Antiqua"/>
        </w:rPr>
      </w:pPr>
    </w:p>
    <w:p w14:paraId="4B28479E" w14:textId="77777777" w:rsidR="00B93166" w:rsidRPr="00B93166" w:rsidRDefault="00B93166" w:rsidP="00A750D4">
      <w:pPr>
        <w:spacing w:after="120" w:line="276" w:lineRule="auto"/>
        <w:ind w:firstLine="360"/>
        <w:jc w:val="both"/>
        <w:rPr>
          <w:rFonts w:ascii="Book Antiqua" w:eastAsia="Book Antiqua" w:hAnsi="Book Antiqua" w:cs="Book Antiqua"/>
        </w:rPr>
      </w:pPr>
      <w:r w:rsidRPr="00B93166">
        <w:rPr>
          <w:rFonts w:ascii="Book Antiqua" w:eastAsia="Book Antiqua" w:hAnsi="Book Antiqua" w:cs="Book Antiqua"/>
        </w:rPr>
        <w:t>Table 3 illustrates that Islamic teachings extend beyond environmental ethics by incorporating governance, social justice, and spiritual accountability as integral components of sustainability. This integrated perspective provides a robust conceptual foundation for developing an Islamic Circular Economy framework that aligns ecological sustainability with ethical governance and value-based decision-making.</w:t>
      </w:r>
    </w:p>
    <w:p w14:paraId="63506066" w14:textId="390D76C3" w:rsidR="00B93166" w:rsidRPr="00B93166" w:rsidRDefault="00B93166" w:rsidP="00B93166">
      <w:pPr>
        <w:spacing w:line="276" w:lineRule="auto"/>
        <w:jc w:val="both"/>
        <w:rPr>
          <w:rFonts w:ascii="Book Antiqua" w:eastAsia="Book Antiqua" w:hAnsi="Book Antiqua" w:cs="Book Antiqua"/>
          <w:b/>
          <w:bCs/>
        </w:rPr>
      </w:pPr>
      <w:r w:rsidRPr="00B93166">
        <w:rPr>
          <w:rFonts w:ascii="Book Antiqua" w:eastAsia="Book Antiqua" w:hAnsi="Book Antiqua" w:cs="Book Antiqua"/>
          <w:b/>
          <w:bCs/>
        </w:rPr>
        <w:t>A Transformative Framework of Islamic Circular Economy</w:t>
      </w:r>
    </w:p>
    <w:p w14:paraId="1D8F0764" w14:textId="77777777" w:rsidR="00B93166" w:rsidRPr="00B93166" w:rsidRDefault="00B93166" w:rsidP="00A750D4">
      <w:pPr>
        <w:spacing w:line="276" w:lineRule="auto"/>
        <w:ind w:firstLine="360"/>
        <w:jc w:val="both"/>
        <w:rPr>
          <w:rFonts w:ascii="Book Antiqua" w:eastAsia="Book Antiqua" w:hAnsi="Book Antiqua" w:cs="Book Antiqua"/>
        </w:rPr>
      </w:pPr>
      <w:r w:rsidRPr="00B93166">
        <w:rPr>
          <w:rFonts w:ascii="Book Antiqua" w:eastAsia="Book Antiqua" w:hAnsi="Book Antiqua" w:cs="Book Antiqua"/>
        </w:rPr>
        <w:t>This study advances the sustainability literature by proposing a transformative Islamic Circular Economy (ICE) framework that integrates theological, ethical, economic, social, and environmental dimensions into a coherent conceptual paradigm. Drawing upon the Qur'an, Hadith, and contemporary Circular Economy (CE) scholarship, the framework reconceptualizes sustainability by positioning taw</w:t>
      </w:r>
      <w:r w:rsidRPr="00B93166">
        <w:rPr>
          <w:rFonts w:ascii="Cambria" w:eastAsia="Book Antiqua" w:hAnsi="Cambria" w:cs="Cambria"/>
        </w:rPr>
        <w:t>ḥ</w:t>
      </w:r>
      <w:r w:rsidRPr="00B93166">
        <w:rPr>
          <w:rFonts w:ascii="Book Antiqua" w:eastAsia="Book Antiqua" w:hAnsi="Book Antiqua" w:cs="Book Antiqua"/>
        </w:rPr>
        <w:t>īd as its epistemological foundation, from which the interconnected principles of khalīfah (stewardship), amānah (trust), mīzān (balance), ma</w:t>
      </w:r>
      <w:r w:rsidRPr="00B93166">
        <w:rPr>
          <w:rFonts w:ascii="Cambria" w:eastAsia="Book Antiqua" w:hAnsi="Cambria" w:cs="Cambria"/>
        </w:rPr>
        <w:t>ṣ</w:t>
      </w:r>
      <w:r w:rsidRPr="00B93166">
        <w:rPr>
          <w:rFonts w:ascii="Book Antiqua" w:eastAsia="Book Antiqua" w:hAnsi="Book Antiqua" w:cs="Book Antiqua"/>
        </w:rPr>
        <w:t>la</w:t>
      </w:r>
      <w:r w:rsidRPr="00B93166">
        <w:rPr>
          <w:rFonts w:ascii="Cambria" w:eastAsia="Book Antiqua" w:hAnsi="Cambria" w:cs="Cambria"/>
        </w:rPr>
        <w:t>ḥ</w:t>
      </w:r>
      <w:r w:rsidRPr="00B93166">
        <w:rPr>
          <w:rFonts w:ascii="Book Antiqua" w:eastAsia="Book Antiqua" w:hAnsi="Book Antiqua" w:cs="Book Antiqua"/>
        </w:rPr>
        <w:t>ah (public welfare), and i</w:t>
      </w:r>
      <w:r w:rsidRPr="00B93166">
        <w:rPr>
          <w:rFonts w:ascii="Cambria" w:eastAsia="Book Antiqua" w:hAnsi="Cambria" w:cs="Cambria"/>
        </w:rPr>
        <w:t>ṣ</w:t>
      </w:r>
      <w:r w:rsidRPr="00B93166">
        <w:rPr>
          <w:rFonts w:ascii="Book Antiqua" w:eastAsia="Book Antiqua" w:hAnsi="Book Antiqua" w:cs="Book Antiqua"/>
        </w:rPr>
        <w:t>lā</w:t>
      </w:r>
      <w:r w:rsidRPr="00B93166">
        <w:rPr>
          <w:rFonts w:ascii="Cambria" w:eastAsia="Book Antiqua" w:hAnsi="Cambria" w:cs="Cambria"/>
        </w:rPr>
        <w:t>ḥ</w:t>
      </w:r>
      <w:r w:rsidRPr="00B93166">
        <w:rPr>
          <w:rFonts w:ascii="Book Antiqua" w:eastAsia="Book Antiqua" w:hAnsi="Book Antiqua" w:cs="Book Antiqua"/>
        </w:rPr>
        <w:t xml:space="preserve"> (constructive improvement) guide responsible production, ethical consumption, social equity, and ecological resilience.</w:t>
      </w:r>
    </w:p>
    <w:p w14:paraId="131B551B" w14:textId="77777777" w:rsidR="00B93166" w:rsidRPr="00B93166" w:rsidRDefault="00B93166" w:rsidP="00A750D4">
      <w:pPr>
        <w:spacing w:line="276" w:lineRule="auto"/>
        <w:ind w:firstLine="360"/>
        <w:jc w:val="both"/>
        <w:rPr>
          <w:rFonts w:ascii="Book Antiqua" w:eastAsia="Book Antiqua" w:hAnsi="Book Antiqua" w:cs="Book Antiqua"/>
        </w:rPr>
      </w:pPr>
      <w:r w:rsidRPr="00B93166">
        <w:rPr>
          <w:rFonts w:ascii="Book Antiqua" w:eastAsia="Book Antiqua" w:hAnsi="Book Antiqua" w:cs="Book Antiqua"/>
        </w:rPr>
        <w:t>Unlike conventional CE models that predominantly emphasize material circulation and resource efficiency, ICE constitutes an autonomous theoretical framework grounded in Islamic epistemology and moral philosophy. Economic activities are therefore directed not only toward efficiency but also toward justice, environmental stewardship, collective welfare, and accountability before God. This perspective addresses the conceptual fragmentation identified by Kirchherr et al. by extending CE beyond its technical and industrial orientation through the incorporation of spiritual accountability.</w:t>
      </w:r>
    </w:p>
    <w:p w14:paraId="1A9CB51E" w14:textId="77777777" w:rsidR="00B93166" w:rsidRPr="00B93166" w:rsidRDefault="00B93166" w:rsidP="00A750D4">
      <w:pPr>
        <w:spacing w:line="276" w:lineRule="auto"/>
        <w:ind w:firstLine="360"/>
        <w:jc w:val="both"/>
        <w:rPr>
          <w:rFonts w:ascii="Book Antiqua" w:eastAsia="Book Antiqua" w:hAnsi="Book Antiqua" w:cs="Book Antiqua"/>
        </w:rPr>
      </w:pPr>
      <w:r w:rsidRPr="00B93166">
        <w:rPr>
          <w:rFonts w:ascii="Book Antiqua" w:eastAsia="Book Antiqua" w:hAnsi="Book Antiqua" w:cs="Book Antiqua"/>
        </w:rPr>
        <w:t>The proposed framework also extends earlier ICE studies by Fathma et al. and Septiani et al., which primarily discussed conceptual compatibility without establishing an integrated theoretical architecture. By explicitly linking Islamic theological principles with sustainability objectives and CE practices, this framework offers a robust foundation for future empirical research. While remaining consistent with the United Nations 2030 Agenda for Sustainable Development and UNEP, it introduces spirituality as the primary driver of sustainable behavior, thereby positioning Islamic Circular Economy as a comprehensive and transformative sustainability paradigm with broad theoretical and practical relevance.</w:t>
      </w:r>
    </w:p>
    <w:p w14:paraId="08DCFE3E" w14:textId="77777777" w:rsidR="00B93166" w:rsidRPr="00B93166" w:rsidRDefault="00B93166" w:rsidP="00B93166">
      <w:pPr>
        <w:spacing w:line="276" w:lineRule="auto"/>
        <w:ind w:firstLine="360"/>
        <w:jc w:val="both"/>
        <w:rPr>
          <w:rFonts w:ascii="Book Antiqua" w:eastAsia="Book Antiqua" w:hAnsi="Book Antiqua" w:cs="Book Antiqua"/>
        </w:rPr>
      </w:pPr>
    </w:p>
    <w:p w14:paraId="211248CC" w14:textId="77777777" w:rsidR="00B93166" w:rsidRPr="00B93166" w:rsidRDefault="00B93166" w:rsidP="00B93166">
      <w:pPr>
        <w:spacing w:line="276" w:lineRule="auto"/>
        <w:ind w:firstLine="360"/>
        <w:jc w:val="both"/>
        <w:rPr>
          <w:rFonts w:ascii="Book Antiqua" w:eastAsia="Book Antiqua" w:hAnsi="Book Antiqua" w:cs="Book Antiqua"/>
        </w:rPr>
      </w:pPr>
    </w:p>
    <w:p w14:paraId="570BB621" w14:textId="756DE5BC" w:rsidR="00B93166" w:rsidRPr="00B93166" w:rsidRDefault="00B93166" w:rsidP="00A750D4">
      <w:pPr>
        <w:spacing w:line="276" w:lineRule="auto"/>
        <w:jc w:val="center"/>
        <w:rPr>
          <w:rFonts w:ascii="Book Antiqua" w:eastAsia="Book Antiqua" w:hAnsi="Book Antiqua" w:cs="Book Antiqua"/>
          <w:b/>
          <w:bCs/>
        </w:rPr>
      </w:pPr>
      <w:r w:rsidRPr="00B93166">
        <w:rPr>
          <w:rFonts w:ascii="Book Antiqua" w:eastAsia="Book Antiqua" w:hAnsi="Book Antiqua" w:cs="Book Antiqua"/>
          <w:b/>
          <w:bCs/>
        </w:rPr>
        <w:lastRenderedPageBreak/>
        <w:t>Table 4. Transformative Framework of Islamic Circular Economy</w:t>
      </w:r>
    </w:p>
    <w:tbl>
      <w:tblPr>
        <w:tblStyle w:val="TableGrid5"/>
        <w:tblW w:w="0" w:type="auto"/>
        <w:jc w:val="center"/>
        <w:tblLook w:val="04A0" w:firstRow="1" w:lastRow="0" w:firstColumn="1" w:lastColumn="0" w:noHBand="0" w:noVBand="1"/>
      </w:tblPr>
      <w:tblGrid>
        <w:gridCol w:w="2254"/>
        <w:gridCol w:w="2254"/>
        <w:gridCol w:w="2254"/>
        <w:gridCol w:w="2254"/>
      </w:tblGrid>
      <w:tr w:rsidR="00B93166" w:rsidRPr="00B93166" w14:paraId="6B95658B" w14:textId="77777777" w:rsidTr="00A750D4">
        <w:trPr>
          <w:tblHeader/>
          <w:jc w:val="center"/>
        </w:trPr>
        <w:tc>
          <w:tcPr>
            <w:tcW w:w="2254" w:type="dxa"/>
          </w:tcPr>
          <w:p w14:paraId="7756FC7B" w14:textId="77777777" w:rsidR="00B93166" w:rsidRPr="00B93166" w:rsidRDefault="00B93166" w:rsidP="00A750D4">
            <w:pPr>
              <w:jc w:val="center"/>
              <w:rPr>
                <w:rFonts w:ascii="Book Antiqua" w:hAnsi="Book Antiqua" w:cs="Times New Roman"/>
                <w:sz w:val="20"/>
                <w:szCs w:val="20"/>
                <w:lang w:val="en-ID"/>
              </w:rPr>
            </w:pPr>
            <w:r w:rsidRPr="00B93166">
              <w:rPr>
                <w:rFonts w:ascii="Book Antiqua" w:hAnsi="Book Antiqua" w:cs="Times New Roman"/>
                <w:b/>
                <w:bCs/>
                <w:sz w:val="20"/>
                <w:szCs w:val="20"/>
                <w:lang w:val="en-ID"/>
              </w:rPr>
              <w:t>Islamic Foundation</w:t>
            </w:r>
          </w:p>
        </w:tc>
        <w:tc>
          <w:tcPr>
            <w:tcW w:w="2254" w:type="dxa"/>
          </w:tcPr>
          <w:p w14:paraId="5F20FB7C" w14:textId="77777777" w:rsidR="00B93166" w:rsidRPr="00B93166" w:rsidRDefault="00B93166" w:rsidP="00A750D4">
            <w:pPr>
              <w:jc w:val="center"/>
              <w:rPr>
                <w:rFonts w:ascii="Book Antiqua" w:hAnsi="Book Antiqua" w:cs="Times New Roman"/>
                <w:sz w:val="20"/>
                <w:szCs w:val="20"/>
                <w:lang w:val="en-ID"/>
              </w:rPr>
            </w:pPr>
            <w:r w:rsidRPr="00B93166">
              <w:rPr>
                <w:rFonts w:ascii="Book Antiqua" w:hAnsi="Book Antiqua" w:cs="Times New Roman"/>
                <w:b/>
                <w:bCs/>
                <w:sz w:val="20"/>
                <w:szCs w:val="20"/>
                <w:lang w:val="en-ID"/>
              </w:rPr>
              <w:t>Core Principle</w:t>
            </w:r>
          </w:p>
        </w:tc>
        <w:tc>
          <w:tcPr>
            <w:tcW w:w="2254" w:type="dxa"/>
          </w:tcPr>
          <w:p w14:paraId="0F5CA72E" w14:textId="77777777" w:rsidR="00B93166" w:rsidRPr="00B93166" w:rsidRDefault="00B93166" w:rsidP="00A750D4">
            <w:pPr>
              <w:jc w:val="center"/>
              <w:rPr>
                <w:rFonts w:ascii="Book Antiqua" w:hAnsi="Book Antiqua" w:cs="Times New Roman"/>
                <w:sz w:val="20"/>
                <w:szCs w:val="20"/>
                <w:lang w:val="en-ID"/>
              </w:rPr>
            </w:pPr>
            <w:r w:rsidRPr="00B93166">
              <w:rPr>
                <w:rFonts w:ascii="Book Antiqua" w:hAnsi="Book Antiqua" w:cs="Times New Roman"/>
                <w:b/>
                <w:bCs/>
                <w:sz w:val="20"/>
                <w:szCs w:val="20"/>
                <w:lang w:val="en-ID"/>
              </w:rPr>
              <w:t>Circular Economy Orientation</w:t>
            </w:r>
          </w:p>
        </w:tc>
        <w:tc>
          <w:tcPr>
            <w:tcW w:w="2254" w:type="dxa"/>
          </w:tcPr>
          <w:p w14:paraId="70864F19" w14:textId="77777777" w:rsidR="00B93166" w:rsidRPr="00B93166" w:rsidRDefault="00B93166" w:rsidP="00A750D4">
            <w:pPr>
              <w:jc w:val="center"/>
              <w:rPr>
                <w:rFonts w:ascii="Book Antiqua" w:hAnsi="Book Antiqua" w:cs="Times New Roman"/>
                <w:sz w:val="20"/>
                <w:szCs w:val="20"/>
                <w:lang w:val="en-ID"/>
              </w:rPr>
            </w:pPr>
            <w:r w:rsidRPr="00B93166">
              <w:rPr>
                <w:rFonts w:ascii="Book Antiqua" w:hAnsi="Book Antiqua" w:cs="Times New Roman"/>
                <w:b/>
                <w:bCs/>
                <w:sz w:val="20"/>
                <w:szCs w:val="20"/>
                <w:lang w:val="en-ID"/>
              </w:rPr>
              <w:t>Expected Sustainability Outcome</w:t>
            </w:r>
          </w:p>
        </w:tc>
      </w:tr>
      <w:tr w:rsidR="00B93166" w:rsidRPr="00B93166" w14:paraId="63471810" w14:textId="77777777" w:rsidTr="00A750D4">
        <w:trPr>
          <w:jc w:val="center"/>
        </w:trPr>
        <w:tc>
          <w:tcPr>
            <w:tcW w:w="2254" w:type="dxa"/>
          </w:tcPr>
          <w:p w14:paraId="5D658240"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b/>
                <w:bCs/>
                <w:sz w:val="20"/>
                <w:szCs w:val="20"/>
                <w:lang w:val="en-ID"/>
              </w:rPr>
              <w:t>Taw</w:t>
            </w:r>
            <w:r w:rsidRPr="00B93166">
              <w:rPr>
                <w:rFonts w:ascii="Cambria" w:hAnsi="Cambria" w:cs="Cambria"/>
                <w:b/>
                <w:bCs/>
                <w:sz w:val="20"/>
                <w:szCs w:val="20"/>
                <w:lang w:val="en-ID"/>
              </w:rPr>
              <w:t>ḥ</w:t>
            </w:r>
            <w:r w:rsidRPr="00B93166">
              <w:rPr>
                <w:rFonts w:ascii="Book Antiqua" w:hAnsi="Book Antiqua" w:cs="Garamond"/>
                <w:b/>
                <w:bCs/>
                <w:sz w:val="20"/>
                <w:szCs w:val="20"/>
                <w:lang w:val="en-ID"/>
              </w:rPr>
              <w:t>ī</w:t>
            </w:r>
            <w:r w:rsidRPr="00B93166">
              <w:rPr>
                <w:rFonts w:ascii="Book Antiqua" w:hAnsi="Book Antiqua" w:cs="Times New Roman"/>
                <w:b/>
                <w:bCs/>
                <w:sz w:val="20"/>
                <w:szCs w:val="20"/>
                <w:lang w:val="en-ID"/>
              </w:rPr>
              <w:t>d (Unity of God)</w:t>
            </w:r>
          </w:p>
        </w:tc>
        <w:tc>
          <w:tcPr>
            <w:tcW w:w="2254" w:type="dxa"/>
          </w:tcPr>
          <w:p w14:paraId="1A42BBBA"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Recognition that all natural resources belong to Allah and humans are accountable for their use</w:t>
            </w:r>
          </w:p>
        </w:tc>
        <w:tc>
          <w:tcPr>
            <w:tcW w:w="2254" w:type="dxa"/>
          </w:tcPr>
          <w:p w14:paraId="0D288652"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Provides the epistemological foundation for all CE practices</w:t>
            </w:r>
          </w:p>
        </w:tc>
        <w:tc>
          <w:tcPr>
            <w:tcW w:w="2254" w:type="dxa"/>
          </w:tcPr>
          <w:p w14:paraId="66B5B0A8"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Holistic and spiritually grounded sustainability</w:t>
            </w:r>
          </w:p>
        </w:tc>
      </w:tr>
      <w:tr w:rsidR="00B93166" w:rsidRPr="00B93166" w14:paraId="16E20D03" w14:textId="77777777" w:rsidTr="00A750D4">
        <w:trPr>
          <w:jc w:val="center"/>
        </w:trPr>
        <w:tc>
          <w:tcPr>
            <w:tcW w:w="2254" w:type="dxa"/>
          </w:tcPr>
          <w:p w14:paraId="39730165"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b/>
                <w:bCs/>
                <w:sz w:val="20"/>
                <w:szCs w:val="20"/>
                <w:lang w:val="en-ID"/>
              </w:rPr>
              <w:t>Khalīfah (Stewardship)</w:t>
            </w:r>
          </w:p>
        </w:tc>
        <w:tc>
          <w:tcPr>
            <w:tcW w:w="2254" w:type="dxa"/>
          </w:tcPr>
          <w:p w14:paraId="0C094288"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Human responsibility as guardians of the Earth</w:t>
            </w:r>
          </w:p>
        </w:tc>
        <w:tc>
          <w:tcPr>
            <w:tcW w:w="2254" w:type="dxa"/>
          </w:tcPr>
          <w:p w14:paraId="5A4A0FC8"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Sustainable resource management, regeneration, and ecosystem protection</w:t>
            </w:r>
          </w:p>
        </w:tc>
        <w:tc>
          <w:tcPr>
            <w:tcW w:w="2254" w:type="dxa"/>
          </w:tcPr>
          <w:p w14:paraId="664C4438"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Environmental resilience and biodiversity conservation</w:t>
            </w:r>
          </w:p>
        </w:tc>
      </w:tr>
      <w:tr w:rsidR="00B93166" w:rsidRPr="00B93166" w14:paraId="32A088C9" w14:textId="77777777" w:rsidTr="00A750D4">
        <w:trPr>
          <w:jc w:val="center"/>
        </w:trPr>
        <w:tc>
          <w:tcPr>
            <w:tcW w:w="2254" w:type="dxa"/>
          </w:tcPr>
          <w:p w14:paraId="7919D872"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b/>
                <w:bCs/>
                <w:sz w:val="20"/>
                <w:szCs w:val="20"/>
                <w:lang w:val="en-ID"/>
              </w:rPr>
              <w:t>Amānah (Trust)</w:t>
            </w:r>
          </w:p>
        </w:tc>
        <w:tc>
          <w:tcPr>
            <w:tcW w:w="2254" w:type="dxa"/>
          </w:tcPr>
          <w:p w14:paraId="6F917BA2"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Ethical responsibility in managing natural and economic resources</w:t>
            </w:r>
          </w:p>
        </w:tc>
        <w:tc>
          <w:tcPr>
            <w:tcW w:w="2254" w:type="dxa"/>
          </w:tcPr>
          <w:p w14:paraId="3B40D72F"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Responsible production, transparent governance, and sustainable supply chains</w:t>
            </w:r>
          </w:p>
        </w:tc>
        <w:tc>
          <w:tcPr>
            <w:tcW w:w="2254" w:type="dxa"/>
          </w:tcPr>
          <w:p w14:paraId="418BFE1D"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Institutional accountability and responsible business practices</w:t>
            </w:r>
          </w:p>
        </w:tc>
      </w:tr>
      <w:tr w:rsidR="00B93166" w:rsidRPr="00B93166" w14:paraId="350D2264" w14:textId="77777777" w:rsidTr="00A750D4">
        <w:trPr>
          <w:jc w:val="center"/>
        </w:trPr>
        <w:tc>
          <w:tcPr>
            <w:tcW w:w="2254" w:type="dxa"/>
          </w:tcPr>
          <w:p w14:paraId="53AC5039"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b/>
                <w:bCs/>
                <w:sz w:val="20"/>
                <w:szCs w:val="20"/>
                <w:lang w:val="en-ID"/>
              </w:rPr>
              <w:t>Mīzān (Balance)</w:t>
            </w:r>
          </w:p>
        </w:tc>
        <w:tc>
          <w:tcPr>
            <w:tcW w:w="2254" w:type="dxa"/>
          </w:tcPr>
          <w:p w14:paraId="148E864F"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Maintaining harmony between economic growth, society, and nature</w:t>
            </w:r>
          </w:p>
        </w:tc>
        <w:tc>
          <w:tcPr>
            <w:tcW w:w="2254" w:type="dxa"/>
          </w:tcPr>
          <w:p w14:paraId="3AC331E2"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Efficient resource utilization, waste reduction, and circular production systems</w:t>
            </w:r>
          </w:p>
        </w:tc>
        <w:tc>
          <w:tcPr>
            <w:tcW w:w="2254" w:type="dxa"/>
          </w:tcPr>
          <w:p w14:paraId="6D5D72E1"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Ecological balance and long-term resource security</w:t>
            </w:r>
          </w:p>
        </w:tc>
      </w:tr>
      <w:tr w:rsidR="00B93166" w:rsidRPr="00B93166" w14:paraId="1B45C5EE" w14:textId="77777777" w:rsidTr="00A750D4">
        <w:trPr>
          <w:jc w:val="center"/>
        </w:trPr>
        <w:tc>
          <w:tcPr>
            <w:tcW w:w="2254" w:type="dxa"/>
          </w:tcPr>
          <w:p w14:paraId="53ED2B85"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b/>
                <w:bCs/>
                <w:sz w:val="20"/>
                <w:szCs w:val="20"/>
                <w:lang w:val="en-ID"/>
              </w:rPr>
              <w:t>Ma</w:t>
            </w:r>
            <w:r w:rsidRPr="00B93166">
              <w:rPr>
                <w:rFonts w:ascii="Cambria" w:hAnsi="Cambria" w:cs="Cambria"/>
                <w:b/>
                <w:bCs/>
                <w:sz w:val="20"/>
                <w:szCs w:val="20"/>
                <w:lang w:val="en-ID"/>
              </w:rPr>
              <w:t>ṣ</w:t>
            </w:r>
            <w:r w:rsidRPr="00B93166">
              <w:rPr>
                <w:rFonts w:ascii="Book Antiqua" w:hAnsi="Book Antiqua" w:cs="Times New Roman"/>
                <w:b/>
                <w:bCs/>
                <w:sz w:val="20"/>
                <w:szCs w:val="20"/>
                <w:lang w:val="en-ID"/>
              </w:rPr>
              <w:t>la</w:t>
            </w:r>
            <w:r w:rsidRPr="00B93166">
              <w:rPr>
                <w:rFonts w:ascii="Cambria" w:hAnsi="Cambria" w:cs="Cambria"/>
                <w:b/>
                <w:bCs/>
                <w:sz w:val="20"/>
                <w:szCs w:val="20"/>
                <w:lang w:val="en-ID"/>
              </w:rPr>
              <w:t>ḥ</w:t>
            </w:r>
            <w:r w:rsidRPr="00B93166">
              <w:rPr>
                <w:rFonts w:ascii="Book Antiqua" w:hAnsi="Book Antiqua" w:cs="Times New Roman"/>
                <w:b/>
                <w:bCs/>
                <w:sz w:val="20"/>
                <w:szCs w:val="20"/>
                <w:lang w:val="en-ID"/>
              </w:rPr>
              <w:t>ah (Public Welfare)</w:t>
            </w:r>
          </w:p>
        </w:tc>
        <w:tc>
          <w:tcPr>
            <w:tcW w:w="2254" w:type="dxa"/>
          </w:tcPr>
          <w:p w14:paraId="4CAB7B50"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Maximization of collective welfare while preventing harm</w:t>
            </w:r>
          </w:p>
        </w:tc>
        <w:tc>
          <w:tcPr>
            <w:tcW w:w="2254" w:type="dxa"/>
          </w:tcPr>
          <w:p w14:paraId="69A6786A"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Inclusive circular economy, equitable resource distribution, and social value creation</w:t>
            </w:r>
          </w:p>
        </w:tc>
        <w:tc>
          <w:tcPr>
            <w:tcW w:w="2254" w:type="dxa"/>
          </w:tcPr>
          <w:p w14:paraId="326657DF"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Social justice, economic inclusion, and community well-being</w:t>
            </w:r>
          </w:p>
        </w:tc>
      </w:tr>
      <w:tr w:rsidR="00B93166" w:rsidRPr="00B93166" w14:paraId="1365DC33" w14:textId="77777777" w:rsidTr="00A750D4">
        <w:trPr>
          <w:jc w:val="center"/>
        </w:trPr>
        <w:tc>
          <w:tcPr>
            <w:tcW w:w="2254" w:type="dxa"/>
          </w:tcPr>
          <w:p w14:paraId="5EC6EC9D"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b/>
                <w:bCs/>
                <w:sz w:val="20"/>
                <w:szCs w:val="20"/>
                <w:lang w:val="en-ID"/>
              </w:rPr>
              <w:t>I</w:t>
            </w:r>
            <w:r w:rsidRPr="00B93166">
              <w:rPr>
                <w:rFonts w:ascii="Cambria" w:hAnsi="Cambria" w:cs="Cambria"/>
                <w:b/>
                <w:bCs/>
                <w:sz w:val="20"/>
                <w:szCs w:val="20"/>
                <w:lang w:val="en-ID"/>
              </w:rPr>
              <w:t>ṣ</w:t>
            </w:r>
            <w:r w:rsidRPr="00B93166">
              <w:rPr>
                <w:rFonts w:ascii="Book Antiqua" w:hAnsi="Book Antiqua" w:cs="Times New Roman"/>
                <w:b/>
                <w:bCs/>
                <w:sz w:val="20"/>
                <w:szCs w:val="20"/>
                <w:lang w:val="en-ID"/>
              </w:rPr>
              <w:t>l</w:t>
            </w:r>
            <w:r w:rsidRPr="00B93166">
              <w:rPr>
                <w:rFonts w:ascii="Book Antiqua" w:hAnsi="Book Antiqua" w:cs="Garamond"/>
                <w:b/>
                <w:bCs/>
                <w:sz w:val="20"/>
                <w:szCs w:val="20"/>
                <w:lang w:val="en-ID"/>
              </w:rPr>
              <w:t>ā</w:t>
            </w:r>
            <w:r w:rsidRPr="00B93166">
              <w:rPr>
                <w:rFonts w:ascii="Cambria" w:hAnsi="Cambria" w:cs="Cambria"/>
                <w:b/>
                <w:bCs/>
                <w:sz w:val="20"/>
                <w:szCs w:val="20"/>
                <w:lang w:val="en-ID"/>
              </w:rPr>
              <w:t>ḥ</w:t>
            </w:r>
            <w:r w:rsidRPr="00B93166">
              <w:rPr>
                <w:rFonts w:ascii="Book Antiqua" w:hAnsi="Book Antiqua" w:cs="Times New Roman"/>
                <w:b/>
                <w:bCs/>
                <w:sz w:val="20"/>
                <w:szCs w:val="20"/>
                <w:lang w:val="en-ID"/>
              </w:rPr>
              <w:t xml:space="preserve"> (Constructive Improvement)</w:t>
            </w:r>
          </w:p>
        </w:tc>
        <w:tc>
          <w:tcPr>
            <w:tcW w:w="2254" w:type="dxa"/>
          </w:tcPr>
          <w:p w14:paraId="107022DF"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Continuous improvement and environmental restoration</w:t>
            </w:r>
          </w:p>
        </w:tc>
        <w:tc>
          <w:tcPr>
            <w:tcW w:w="2254" w:type="dxa"/>
          </w:tcPr>
          <w:p w14:paraId="38F684B4"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Regeneration, recycling, innovation, and ecosystem restoration</w:t>
            </w:r>
          </w:p>
        </w:tc>
        <w:tc>
          <w:tcPr>
            <w:tcW w:w="2254" w:type="dxa"/>
          </w:tcPr>
          <w:p w14:paraId="644DB000"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Sustainable innovation and environmental recovery</w:t>
            </w:r>
          </w:p>
        </w:tc>
      </w:tr>
      <w:tr w:rsidR="00B93166" w:rsidRPr="00B93166" w14:paraId="23D1BD21" w14:textId="77777777" w:rsidTr="00A750D4">
        <w:trPr>
          <w:jc w:val="center"/>
        </w:trPr>
        <w:tc>
          <w:tcPr>
            <w:tcW w:w="2254" w:type="dxa"/>
          </w:tcPr>
          <w:p w14:paraId="45BD4F18"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b/>
                <w:bCs/>
                <w:sz w:val="20"/>
                <w:szCs w:val="20"/>
                <w:lang w:val="en-ID"/>
              </w:rPr>
              <w:t>Islamic Circular Economy (ICE)</w:t>
            </w:r>
          </w:p>
        </w:tc>
        <w:tc>
          <w:tcPr>
            <w:tcW w:w="2254" w:type="dxa"/>
          </w:tcPr>
          <w:p w14:paraId="0A9018E6"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Integration of theological, ethical, economic, social, and environmental values</w:t>
            </w:r>
          </w:p>
        </w:tc>
        <w:tc>
          <w:tcPr>
            <w:tcW w:w="2254" w:type="dxa"/>
          </w:tcPr>
          <w:p w14:paraId="5517E67A"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Circular production, ethical consumption, responsible governance, and ecological regeneration</w:t>
            </w:r>
          </w:p>
        </w:tc>
        <w:tc>
          <w:tcPr>
            <w:tcW w:w="2254" w:type="dxa"/>
          </w:tcPr>
          <w:p w14:paraId="10F1B5A2" w14:textId="77777777" w:rsidR="00B93166" w:rsidRPr="00B93166" w:rsidRDefault="00B93166" w:rsidP="00A750D4">
            <w:pPr>
              <w:rPr>
                <w:rFonts w:ascii="Book Antiqua" w:hAnsi="Book Antiqua" w:cs="Times New Roman"/>
                <w:sz w:val="20"/>
                <w:szCs w:val="20"/>
                <w:lang w:val="en-ID"/>
              </w:rPr>
            </w:pPr>
            <w:r w:rsidRPr="00B93166">
              <w:rPr>
                <w:rFonts w:ascii="Book Antiqua" w:hAnsi="Book Antiqua" w:cs="Times New Roman"/>
                <w:sz w:val="20"/>
                <w:szCs w:val="20"/>
                <w:lang w:val="en-ID"/>
              </w:rPr>
              <w:t>Sustainable development that integrates environmental integrity, economic prosperity, social justice, and spiritual accountability</w:t>
            </w:r>
          </w:p>
        </w:tc>
      </w:tr>
    </w:tbl>
    <w:p w14:paraId="13CDA66E" w14:textId="0B139335" w:rsidR="004C2FE9" w:rsidRPr="00B93166" w:rsidRDefault="00B93166" w:rsidP="00A750D4">
      <w:pPr>
        <w:pStyle w:val="ListParagraph"/>
        <w:spacing w:after="120"/>
        <w:ind w:left="0" w:firstLine="360"/>
        <w:contextualSpacing w:val="0"/>
        <w:jc w:val="both"/>
        <w:rPr>
          <w:rFonts w:ascii="Book Antiqua" w:hAnsi="Book Antiqua"/>
          <w:sz w:val="20"/>
          <w:szCs w:val="20"/>
        </w:rPr>
      </w:pPr>
      <w:r w:rsidRPr="00B93166">
        <w:rPr>
          <w:rFonts w:ascii="Book Antiqua" w:eastAsia="Book Antiqua" w:hAnsi="Book Antiqua" w:cs="Book Antiqua"/>
          <w:sz w:val="20"/>
          <w:szCs w:val="20"/>
        </w:rPr>
        <w:t>Source: Developed by the authors based on the Qur'an, Hadith, and Circular Economy literature.</w:t>
      </w:r>
    </w:p>
    <w:p w14:paraId="7FE95345" w14:textId="47BDB36C" w:rsidR="009D10B7" w:rsidRPr="00DA6F03" w:rsidRDefault="00000000" w:rsidP="00B275D3">
      <w:pPr>
        <w:numPr>
          <w:ilvl w:val="0"/>
          <w:numId w:val="4"/>
        </w:numPr>
        <w:spacing w:line="276" w:lineRule="auto"/>
        <w:rPr>
          <w:rFonts w:ascii="Book Antiqua" w:eastAsia="Book Antiqua" w:hAnsi="Book Antiqua" w:cs="Book Antiqua"/>
          <w:b/>
        </w:rPr>
      </w:pPr>
      <w:r w:rsidRPr="00DA6F03">
        <w:rPr>
          <w:rFonts w:ascii="Book Antiqua" w:eastAsia="Book Antiqua" w:hAnsi="Book Antiqua" w:cs="Book Antiqua"/>
          <w:b/>
        </w:rPr>
        <w:t>CONCLUSION</w:t>
      </w:r>
    </w:p>
    <w:p w14:paraId="3B085904" w14:textId="77777777" w:rsidR="00A750D4" w:rsidRPr="00A750D4" w:rsidRDefault="00A750D4" w:rsidP="00A750D4">
      <w:pPr>
        <w:spacing w:line="276" w:lineRule="auto"/>
        <w:ind w:firstLine="360"/>
        <w:jc w:val="both"/>
        <w:rPr>
          <w:rFonts w:ascii="Book Antiqua" w:hAnsi="Book Antiqua" w:cstheme="minorHAnsi"/>
          <w:lang w:val="en-ID"/>
        </w:rPr>
      </w:pPr>
      <w:r w:rsidRPr="00A750D4">
        <w:rPr>
          <w:rFonts w:ascii="Book Antiqua" w:hAnsi="Book Antiqua" w:cstheme="minorHAnsi"/>
          <w:lang w:val="en-ID"/>
        </w:rPr>
        <w:t>This study reconstructs the concept of the Islamic Circular Economy (ICE) by integrating thematic analyses of the Qur'an, Hadith, and contemporary scholarship on Circular Economy (CE) and sustainable development. The findings demonstrate that the Qur'an and Hadith provide a robust epistemological foundation that defines the philosophical orientation, ethical values, and normative objectives of ICE. Core Islamic principles—including tawhid (the oneness of God), khalifah (stewardship), amanah (trust), mīzān (balance), i</w:t>
      </w:r>
      <w:r w:rsidRPr="00A750D4">
        <w:rPr>
          <w:rFonts w:ascii="Cambria" w:hAnsi="Cambria" w:cs="Cambria"/>
          <w:lang w:val="en-ID"/>
        </w:rPr>
        <w:t>ṣ</w:t>
      </w:r>
      <w:r w:rsidRPr="00A750D4">
        <w:rPr>
          <w:rFonts w:ascii="Book Antiqua" w:hAnsi="Book Antiqua" w:cstheme="minorHAnsi"/>
          <w:lang w:val="en-ID"/>
        </w:rPr>
        <w:t>lā</w:t>
      </w:r>
      <w:r w:rsidRPr="00A750D4">
        <w:rPr>
          <w:rFonts w:ascii="Cambria" w:hAnsi="Cambria" w:cs="Cambria"/>
          <w:lang w:val="en-ID"/>
        </w:rPr>
        <w:t>ḥ</w:t>
      </w:r>
      <w:r w:rsidRPr="00A750D4">
        <w:rPr>
          <w:rFonts w:ascii="Book Antiqua" w:hAnsi="Book Antiqua" w:cstheme="minorHAnsi"/>
          <w:lang w:val="en-ID"/>
        </w:rPr>
        <w:t xml:space="preserve"> (reform), and the prohibition of isrāf (wastefulness)—are conceptually aligned with circular </w:t>
      </w:r>
      <w:r w:rsidRPr="00A750D4">
        <w:rPr>
          <w:rFonts w:ascii="Book Antiqua" w:hAnsi="Book Antiqua" w:cstheme="minorHAnsi"/>
          <w:lang w:val="en-ID"/>
        </w:rPr>
        <w:lastRenderedPageBreak/>
        <w:t>economy principles by promoting responsible resource utilization, ecological balance, and long-term sustainability. Based on this synthesis, the study proposes a comprehensive conceptual framework that integrates spiritual, ethical, social, economic, and environmental dimensions within a Shariah-based sustainability paradigm.</w:t>
      </w:r>
    </w:p>
    <w:p w14:paraId="4A4BC6B8" w14:textId="77777777" w:rsidR="00A750D4" w:rsidRPr="00A750D4" w:rsidRDefault="00A750D4" w:rsidP="00A750D4">
      <w:pPr>
        <w:spacing w:line="276" w:lineRule="auto"/>
        <w:ind w:firstLine="360"/>
        <w:jc w:val="both"/>
        <w:rPr>
          <w:rFonts w:ascii="Book Antiqua" w:hAnsi="Book Antiqua" w:cstheme="minorHAnsi"/>
          <w:lang w:val="en-ID"/>
        </w:rPr>
      </w:pPr>
      <w:r w:rsidRPr="00A750D4">
        <w:rPr>
          <w:rFonts w:ascii="Book Antiqua" w:hAnsi="Book Antiqua" w:cstheme="minorHAnsi"/>
          <w:lang w:val="en-ID"/>
        </w:rPr>
        <w:t>The study further argues that Islamic Circular Economy should not be viewed merely as the Islamization of the conventional Circular Economy framework. Rather, it constitutes an independent paradigm grounded in Islamic revelation, where sustainability is inseparable from moral accountability and spiritual responsibility. This perspective broadens the conventional CE discourse by embedding environmental stewardship within the ethical obligations of humanity as khalifah, thereby emphasizing justice ('adl), public welfare (maslahah), and intergenerational responsibility alongside economic efficiency.</w:t>
      </w:r>
    </w:p>
    <w:p w14:paraId="581359A2" w14:textId="77777777" w:rsidR="00A750D4" w:rsidRPr="00A750D4" w:rsidRDefault="00A750D4" w:rsidP="00A750D4">
      <w:pPr>
        <w:spacing w:line="276" w:lineRule="auto"/>
        <w:ind w:firstLine="360"/>
        <w:jc w:val="both"/>
        <w:rPr>
          <w:rFonts w:ascii="Book Antiqua" w:hAnsi="Book Antiqua" w:cstheme="minorHAnsi"/>
          <w:lang w:val="en-ID"/>
        </w:rPr>
      </w:pPr>
      <w:r w:rsidRPr="00A750D4">
        <w:rPr>
          <w:rFonts w:ascii="Book Antiqua" w:hAnsi="Book Antiqua" w:cstheme="minorHAnsi"/>
          <w:lang w:val="en-ID"/>
        </w:rPr>
        <w:t>Theoretically, this research contributes to both Circular Economy and Islamic economics by developing an integrative conceptual framework that systematically connects Shariah principles with sustainable development. The framework provides a foundation for future theory development and empirical validation across diverse socio-economic sectors. Practically, it offers strategic guidance for policymakers, Islamic financial institutions, businesses, and educational organizations in designing sustainability policies, circular business models, and governance frameworks consistent with both CE principles and Islamic values. Furthermore, the proposed framework has the potential to strengthen the implementation of the Sustainable Development Goals (SDGs), particularly in Muslim-majority countries.</w:t>
      </w:r>
    </w:p>
    <w:p w14:paraId="2C726138" w14:textId="79627F0E" w:rsidR="00A750D4" w:rsidRPr="00DA6F03" w:rsidRDefault="00A750D4" w:rsidP="00A750D4">
      <w:pPr>
        <w:spacing w:after="120" w:line="276" w:lineRule="auto"/>
        <w:ind w:firstLine="360"/>
        <w:jc w:val="both"/>
        <w:rPr>
          <w:rFonts w:ascii="Book Antiqua" w:eastAsia="Book Antiqua" w:hAnsi="Book Antiqua" w:cs="Book Antiqua"/>
        </w:rPr>
      </w:pPr>
      <w:r w:rsidRPr="00A750D4">
        <w:rPr>
          <w:rFonts w:ascii="Book Antiqua" w:hAnsi="Book Antiqua" w:cstheme="minorHAnsi"/>
          <w:lang w:val="en-ID"/>
        </w:rPr>
        <w:t>The principal novelty of this study lies in reconstructing Islamic Circular Economy directly from the normative sources of the Qur'an and Hadith, rather than merely demonstrating their compatibility with conventional CE. By positioning revelation as the primary epistemological foundation, this research introduces a holistic conceptual model that integrates t</w:t>
      </w:r>
      <w:r w:rsidRPr="00392FBC">
        <w:rPr>
          <w:rFonts w:ascii="Book Antiqua" w:hAnsi="Book Antiqua" w:cstheme="minorHAnsi"/>
          <w:lang w:val="en-ID"/>
        </w:rPr>
        <w:t>heological, ethical, social, economic, and environmental dimensions into a unified paradigm for sustainable development.</w:t>
      </w:r>
    </w:p>
    <w:p w14:paraId="051AA43B" w14:textId="472E3918" w:rsidR="009D10B7" w:rsidRPr="00DA6F03" w:rsidRDefault="00000000" w:rsidP="00DA6F03">
      <w:pPr>
        <w:spacing w:line="276" w:lineRule="auto"/>
        <w:jc w:val="both"/>
        <w:rPr>
          <w:rFonts w:ascii="Book Antiqua" w:eastAsia="Book Antiqua" w:hAnsi="Book Antiqua" w:cs="Book Antiqua"/>
        </w:rPr>
      </w:pPr>
      <w:r w:rsidRPr="00DA6F03">
        <w:rPr>
          <w:rFonts w:ascii="Book Antiqua" w:eastAsia="Book Antiqua" w:hAnsi="Book Antiqua" w:cs="Book Antiqua"/>
          <w:b/>
          <w:color w:val="000000"/>
        </w:rPr>
        <w:t xml:space="preserve">REFERENCES </w:t>
      </w:r>
    </w:p>
    <w:p w14:paraId="0388FECC" w14:textId="1AE3D8F1" w:rsidR="00A750D4" w:rsidRPr="00A750D4" w:rsidRDefault="00A750D4" w:rsidP="00A750D4">
      <w:pPr>
        <w:spacing w:line="276" w:lineRule="auto"/>
        <w:ind w:left="360" w:hanging="360"/>
        <w:jc w:val="both"/>
        <w:rPr>
          <w:rFonts w:ascii="Book Antiqua" w:hAnsi="Book Antiqua"/>
          <w:lang w:val="en-ID"/>
        </w:rPr>
      </w:pPr>
      <w:bookmarkStart w:id="3" w:name="_heading=h.tyjcwt" w:colFirst="0" w:colLast="0"/>
      <w:bookmarkStart w:id="4" w:name="_heading=h.3dy6vkm" w:colFirst="0" w:colLast="0"/>
      <w:bookmarkEnd w:id="3"/>
      <w:bookmarkEnd w:id="4"/>
      <w:r w:rsidRPr="00A750D4">
        <w:rPr>
          <w:rFonts w:ascii="Book Antiqua" w:hAnsi="Book Antiqua"/>
          <w:lang w:val="en-ID"/>
        </w:rPr>
        <w:t>Al-Qur'an, QS. Al-Baqarah [2]:30; QS. Al-A'raf [7]:56; QS. Ar-Rahman [55]:7-9.</w:t>
      </w:r>
    </w:p>
    <w:p w14:paraId="543433E2" w14:textId="32065564"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 xml:space="preserve">A. Fathma, M. T. Alfarisi, and Darwanto, "Islamic circular economy in business practice and Islamic finance: A systematic literature review," </w:t>
      </w:r>
      <w:r w:rsidRPr="00A750D4">
        <w:rPr>
          <w:rFonts w:ascii="Book Antiqua" w:hAnsi="Book Antiqua"/>
          <w:i/>
          <w:iCs/>
          <w:lang w:val="en-ID"/>
        </w:rPr>
        <w:t>Journal of Islamic Economic Laws</w:t>
      </w:r>
      <w:r w:rsidRPr="00A750D4">
        <w:rPr>
          <w:rFonts w:ascii="Book Antiqua" w:hAnsi="Book Antiqua"/>
          <w:lang w:val="en-ID"/>
        </w:rPr>
        <w:t>, vol. 8, no. 2, pp. 171-185, 2025, doi: 10.23917/jisel.v8i02.11697.</w:t>
      </w:r>
    </w:p>
    <w:p w14:paraId="21B68A08" w14:textId="3806ADE0"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 xml:space="preserve">A. Murray, K. Skene, and K. Haynes, "The circular economy: An interdisciplinary exploration of the concept and application in a global context," </w:t>
      </w:r>
      <w:r w:rsidRPr="00A750D4">
        <w:rPr>
          <w:rFonts w:ascii="Book Antiqua" w:hAnsi="Book Antiqua"/>
          <w:i/>
          <w:iCs/>
          <w:lang w:val="en-ID"/>
        </w:rPr>
        <w:t>Journal of Business Ethics</w:t>
      </w:r>
      <w:r w:rsidRPr="00A750D4">
        <w:rPr>
          <w:rFonts w:ascii="Book Antiqua" w:hAnsi="Book Antiqua"/>
          <w:lang w:val="en-ID"/>
        </w:rPr>
        <w:t>, vol. 140, no. 3, pp. 369-380, 2017.</w:t>
      </w:r>
    </w:p>
    <w:p w14:paraId="32216208" w14:textId="73494E54"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Ellen MacArthur Foundation, Growth Within: A Circular Economy Vision for a Competitive Europe. Cowes, U.K.: Ellen MacArthur Foundation, 2015.</w:t>
      </w:r>
    </w:p>
    <w:p w14:paraId="2479409D" w14:textId="5E4ED231"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 xml:space="preserve">Ellen MacArthur Foundation, </w:t>
      </w:r>
      <w:r w:rsidRPr="00A750D4">
        <w:rPr>
          <w:rFonts w:ascii="Book Antiqua" w:hAnsi="Book Antiqua"/>
          <w:i/>
          <w:iCs/>
          <w:lang w:val="en-ID"/>
        </w:rPr>
        <w:t>Completing the Picture: How the Circular Economy Tackles Climate Change</w:t>
      </w:r>
      <w:r w:rsidRPr="00A750D4">
        <w:rPr>
          <w:rFonts w:ascii="Book Antiqua" w:hAnsi="Book Antiqua"/>
          <w:lang w:val="en-ID"/>
        </w:rPr>
        <w:t>. Cowes, U.K.: Ellen MacArthur Foundation, 2019.</w:t>
      </w:r>
    </w:p>
    <w:p w14:paraId="40F0F2E6" w14:textId="10E28E60"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E. Holden, K. Linnerud, and V. Bøe, "Sustainable development: Notions, numbers, and narratives," Sustainable Development, vol. 33, no. 2, pp. 2812-2825, 2025.</w:t>
      </w:r>
    </w:p>
    <w:p w14:paraId="76A33133" w14:textId="77777777"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 xml:space="preserve">F. Gennari, "The transition towards a circular economy: A framework for SMEs," </w:t>
      </w:r>
      <w:r w:rsidRPr="00A750D4">
        <w:rPr>
          <w:rFonts w:ascii="Book Antiqua" w:hAnsi="Book Antiqua"/>
          <w:i/>
          <w:iCs/>
          <w:lang w:val="en-ID"/>
        </w:rPr>
        <w:t>Journal of Management and Governance</w:t>
      </w:r>
      <w:r w:rsidRPr="00A750D4">
        <w:rPr>
          <w:rFonts w:ascii="Book Antiqua" w:hAnsi="Book Antiqua"/>
          <w:lang w:val="en-ID"/>
        </w:rPr>
        <w:t>, vol. 27, no. 4, pp. 1423-1457, 2023.</w:t>
      </w:r>
    </w:p>
    <w:p w14:paraId="6DA374F3" w14:textId="77777777"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J. Kirchherr, M. P. Jones, M. Geissdoerfer, and M. Coffay, "A defense of the circular economy," Journal of Industrial Ecology, vol. 29, no. 6, pp. 1959-1976, 2025.</w:t>
      </w:r>
    </w:p>
    <w:p w14:paraId="32CA7F32" w14:textId="77777777"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J. Kirchherr, D. Reike, and M. Hekkert, "Conceptualizing the circular economy: An analysis of 114 definitions," Resources, Conservation and Recycling, vol. 127, pp. 221-232, 2017.</w:t>
      </w:r>
    </w:p>
    <w:p w14:paraId="1D7E70D1" w14:textId="77777777"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J. Korhonen, A. Honkasalo, and J. Seppälä, "Circular economy: The concept and its limitations," Ecological Economics, vol. 143, pp. 37-46, 2018.</w:t>
      </w:r>
    </w:p>
    <w:p w14:paraId="16BAB8A0" w14:textId="77777777" w:rsidR="00A750D4" w:rsidRPr="00A750D4" w:rsidRDefault="00A750D4" w:rsidP="00A750D4">
      <w:pPr>
        <w:spacing w:line="276" w:lineRule="auto"/>
        <w:ind w:left="360" w:hanging="360"/>
        <w:jc w:val="both"/>
        <w:rPr>
          <w:rFonts w:ascii="Book Antiqua" w:hAnsi="Book Antiqua"/>
          <w:lang w:val="en-ID"/>
        </w:rPr>
      </w:pPr>
    </w:p>
    <w:p w14:paraId="6706CF0B" w14:textId="5E7CB3EB"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 xml:space="preserve">J. Mensah, "Sustainable development: Meaning, history, principles, pillars, and implications for human action," </w:t>
      </w:r>
      <w:r w:rsidRPr="00A750D4">
        <w:rPr>
          <w:rFonts w:ascii="Book Antiqua" w:hAnsi="Book Antiqua"/>
          <w:i/>
          <w:iCs/>
          <w:lang w:val="en-ID"/>
        </w:rPr>
        <w:t>Cogent Social Sciences</w:t>
      </w:r>
      <w:r w:rsidRPr="00A750D4">
        <w:rPr>
          <w:rFonts w:ascii="Book Antiqua" w:hAnsi="Book Antiqua"/>
          <w:lang w:val="en-ID"/>
        </w:rPr>
        <w:t>, vol. 5, no. 1, 2019.</w:t>
      </w:r>
    </w:p>
    <w:p w14:paraId="732305A7" w14:textId="710F1D4D"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J. W. Creswell and C. N. Poth, Qualitative Inquiry and Research Design: Choosing Among Five Approaches, 4th ed. Thousand Oaks, CA, USA: Sage Publications, 2018.</w:t>
      </w:r>
    </w:p>
    <w:p w14:paraId="1671B606" w14:textId="6BE4187E"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K. M. Rahla, R. Mateus, and L. Bragança, "Implementing circular economy strategies in buildings—From theory to practice," Applied System Innovation, vol. 4, no. 2, Art. no. 26, 2021.</w:t>
      </w:r>
    </w:p>
    <w:p w14:paraId="5235C566" w14:textId="288C8DFD"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 xml:space="preserve">L. Raimi, "Do Islamic epistemology and ethics advance the understanding and promotion of sustainable development? A systematic review using PRISMA," </w:t>
      </w:r>
      <w:r w:rsidRPr="00A750D4">
        <w:rPr>
          <w:rFonts w:ascii="Book Antiqua" w:hAnsi="Book Antiqua"/>
          <w:i/>
          <w:iCs/>
          <w:lang w:val="en-ID"/>
        </w:rPr>
        <w:t>International Journal of Ethics and Systems</w:t>
      </w:r>
      <w:r w:rsidRPr="00A750D4">
        <w:rPr>
          <w:rFonts w:ascii="Book Antiqua" w:hAnsi="Book Antiqua"/>
          <w:lang w:val="en-ID"/>
        </w:rPr>
        <w:t>, vol. 42, no. 4, pp. 1030-1061, 2026.</w:t>
      </w:r>
    </w:p>
    <w:p w14:paraId="73E2B89D" w14:textId="77777777" w:rsidR="00A750D4" w:rsidRPr="00A750D4" w:rsidRDefault="00A750D4" w:rsidP="00A750D4">
      <w:pPr>
        <w:spacing w:line="276" w:lineRule="auto"/>
        <w:ind w:left="360" w:hanging="360"/>
        <w:rPr>
          <w:rFonts w:ascii="Book Antiqua" w:hAnsi="Book Antiqua"/>
          <w:lang w:val="en-ID"/>
        </w:rPr>
      </w:pPr>
      <w:r w:rsidRPr="00A750D4">
        <w:rPr>
          <w:rFonts w:ascii="Book Antiqua" w:hAnsi="Book Antiqua"/>
          <w:lang w:val="en-ID"/>
        </w:rPr>
        <w:t>M. Y. Afandi and N. Rahma, "Circular economy and maqasid al-shari'ah: A conceptual framework for Islamic economic reform," Global Review of Islamic Economics and Business, vol. 13, no. 2, 2025, doi: 10.14421/grieb.2025.132-03.</w:t>
      </w:r>
    </w:p>
    <w:p w14:paraId="05D2EBDD" w14:textId="332FF243"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 xml:space="preserve">M. Geissdoerfer, W. Kanda, and J. Kirchherr, "Conceptualizing circular ecosystems: An analysis of 45 definitions," </w:t>
      </w:r>
      <w:r w:rsidRPr="00A750D4">
        <w:rPr>
          <w:rFonts w:ascii="Book Antiqua" w:hAnsi="Book Antiqua"/>
          <w:i/>
          <w:iCs/>
          <w:lang w:val="en-ID"/>
        </w:rPr>
        <w:t>Business Strategy and the Environment</w:t>
      </w:r>
      <w:r w:rsidRPr="00A750D4">
        <w:rPr>
          <w:rFonts w:ascii="Book Antiqua" w:hAnsi="Book Antiqua"/>
          <w:lang w:val="en-ID"/>
        </w:rPr>
        <w:t>, vol. 35, no. 2, pp. 2368-2394, 2026.</w:t>
      </w:r>
    </w:p>
    <w:p w14:paraId="69C5B9CA" w14:textId="516DB587"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 xml:space="preserve">M. Geissdoerfer, P. Savaget, N. M. P. Bocken, and E. J. Hultink, "The circular economy: A new sustainability paradigm?" </w:t>
      </w:r>
      <w:r w:rsidRPr="00A750D4">
        <w:rPr>
          <w:rFonts w:ascii="Book Antiqua" w:hAnsi="Book Antiqua"/>
          <w:i/>
          <w:iCs/>
          <w:lang w:val="en-ID"/>
        </w:rPr>
        <w:t>Journal of Cleaner Production</w:t>
      </w:r>
      <w:r w:rsidRPr="00A750D4">
        <w:rPr>
          <w:rFonts w:ascii="Book Antiqua" w:hAnsi="Book Antiqua"/>
          <w:lang w:val="en-ID"/>
        </w:rPr>
        <w:t>, vol. 143, pp. 757-768, 2017.</w:t>
      </w:r>
    </w:p>
    <w:p w14:paraId="71D5CAB5" w14:textId="78D9D6EE"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 xml:space="preserve">M. Ghobakhloo </w:t>
      </w:r>
      <w:r w:rsidRPr="00A750D4">
        <w:rPr>
          <w:rFonts w:ascii="Book Antiqua" w:hAnsi="Book Antiqua"/>
          <w:i/>
          <w:iCs/>
          <w:lang w:val="en-ID"/>
        </w:rPr>
        <w:t>et al</w:t>
      </w:r>
      <w:r w:rsidRPr="00A750D4">
        <w:rPr>
          <w:rFonts w:ascii="Book Antiqua" w:hAnsi="Book Antiqua"/>
          <w:lang w:val="en-ID"/>
        </w:rPr>
        <w:t xml:space="preserve">., "Beyond Industry 4.0: A systematic review of Industry 5.0 technologies and implications for social, environmental and economic sustainability," </w:t>
      </w:r>
      <w:r w:rsidRPr="00A750D4">
        <w:rPr>
          <w:rFonts w:ascii="Book Antiqua" w:hAnsi="Book Antiqua"/>
          <w:i/>
          <w:iCs/>
          <w:lang w:val="en-ID"/>
        </w:rPr>
        <w:t>Asia-Pacific Journal of Business Administration</w:t>
      </w:r>
      <w:r w:rsidRPr="00A750D4">
        <w:rPr>
          <w:rFonts w:ascii="Book Antiqua" w:hAnsi="Book Antiqua"/>
          <w:lang w:val="en-ID"/>
        </w:rPr>
        <w:t>, vol. 17, no. 4, pp. 889-914, 2025</w:t>
      </w:r>
    </w:p>
    <w:p w14:paraId="56F56CDC" w14:textId="58174EF6"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M. H. Kamali, The Middle Path of Moderation in Islam. Oxford, U.K.: Oxford University Press, 2019.</w:t>
      </w:r>
    </w:p>
    <w:p w14:paraId="56593FF2" w14:textId="113D1FCB"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 xml:space="preserve">M. K. Hassan, "Islam, sustainability and environmental responsibility," </w:t>
      </w:r>
      <w:r w:rsidRPr="00A750D4">
        <w:rPr>
          <w:rFonts w:ascii="Book Antiqua" w:hAnsi="Book Antiqua"/>
          <w:i/>
          <w:iCs/>
          <w:lang w:val="en-ID"/>
        </w:rPr>
        <w:t>Journal of King Abdulaziz University: Islamic Economics</w:t>
      </w:r>
      <w:r w:rsidRPr="00A750D4">
        <w:rPr>
          <w:rFonts w:ascii="Book Antiqua" w:hAnsi="Book Antiqua"/>
          <w:lang w:val="en-ID"/>
        </w:rPr>
        <w:t>, 2021.</w:t>
      </w:r>
    </w:p>
    <w:p w14:paraId="7977002B" w14:textId="70F95BDA"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M. Montefalcone, C. Morri, and C. N. Bianchi, "Scientists' warning on sustainability: The ecologist point of view, with examples from marine ecosystems," Discover Sustainability, vol. 6, no. 1, Art. no. 279, 2025.</w:t>
      </w:r>
    </w:p>
    <w:p w14:paraId="09EDC5F5" w14:textId="2945A160" w:rsidR="00A750D4" w:rsidRPr="00A750D4" w:rsidRDefault="00A750D4" w:rsidP="00A750D4">
      <w:pPr>
        <w:spacing w:line="276" w:lineRule="auto"/>
        <w:ind w:left="360" w:hanging="360"/>
        <w:rPr>
          <w:rFonts w:ascii="Book Antiqua" w:hAnsi="Book Antiqua"/>
          <w:lang w:val="en-ID"/>
        </w:rPr>
      </w:pPr>
      <w:r w:rsidRPr="00A750D4">
        <w:rPr>
          <w:rFonts w:ascii="Book Antiqua" w:hAnsi="Book Antiqua"/>
          <w:lang w:val="en-ID"/>
        </w:rPr>
        <w:t>M. Ramadhan and M. Alif, "Metode pendekatan studi hadis tematik dengan Grounded Theory Anselm Strauss dan Barney Glaser," Al Isnad: Journal of Indonesian Hadith Studies, 2024.</w:t>
      </w:r>
    </w:p>
    <w:p w14:paraId="22CA110A" w14:textId="6F4C97FE"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M. U. Chapra, The Future of Economics: An Islamic Perspective. Leicester, U.K.: The Islamic Foundation, 2016.</w:t>
      </w:r>
    </w:p>
    <w:p w14:paraId="3B36415F" w14:textId="686FED59"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N. Choudhry et al., "Regenerative fashion systems: Redefining circularity in the fashion and textiles industry," Circular Economy and Sustainability, vol. 6, no. 2, p. 129, 2026.</w:t>
      </w:r>
    </w:p>
    <w:p w14:paraId="016FB088" w14:textId="28F155C3"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N. Rahma, C. Sugiyanto, and A. A. Susamto, "Bridging circular economy and Islamic economic principles: Toward a sustainable economic model," International Journal of Ethics and Systems, pp. 1-22, 2025.</w:t>
      </w:r>
    </w:p>
    <w:p w14:paraId="423141C7" w14:textId="4D73D8EE"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O. Al-Jayyousi, E. Tok, S. M. Saniff, W. N. Wan Hasan, N. A. Janahi, and A. J. Yesuf, "Re-thinking sustainable development within Islamic worldviews: A systematic literature review," Sustainability, vol. 14, no. 12, Art. no. 7300, 2022.</w:t>
      </w:r>
    </w:p>
    <w:p w14:paraId="24F87129" w14:textId="7055FA0D"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O. Javaid, "The principles of a circular economy in the light of Islamic values and beliefs," Journal of Islamic Thought and Civilization, vol. 12, no. 1, pp. 166-183, 2022.</w:t>
      </w:r>
    </w:p>
    <w:p w14:paraId="018F1C03" w14:textId="2D66AB87"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O. Dziubaniuk and L. Aarikka-Stenroos, "Ethical value co-creation in circular economy ecosystems: A case study of the textile industry," Journal of Business &amp; Industrial Marketing, vol. 40, no. 6, pp. 1423-1438, 2025.</w:t>
      </w:r>
    </w:p>
    <w:p w14:paraId="6A3249B9" w14:textId="77777777"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 xml:space="preserve">P. Ghisellini, C. Cialani, and S. Ulgiati, "A review on circular economy: The expected transition to a balanced interplay of environmental and economic systems," </w:t>
      </w:r>
      <w:r w:rsidRPr="00A750D4">
        <w:rPr>
          <w:rFonts w:ascii="Book Antiqua" w:hAnsi="Book Antiqua"/>
          <w:i/>
          <w:iCs/>
          <w:lang w:val="en-ID"/>
        </w:rPr>
        <w:t>Journal of Cleaner Production</w:t>
      </w:r>
      <w:r w:rsidRPr="00A750D4">
        <w:rPr>
          <w:rFonts w:ascii="Book Antiqua" w:hAnsi="Book Antiqua"/>
          <w:lang w:val="en-ID"/>
        </w:rPr>
        <w:t>, vol. 114, pp. 11-32, 2016.</w:t>
      </w:r>
    </w:p>
    <w:p w14:paraId="0FB7F4B9" w14:textId="56CF159C"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lastRenderedPageBreak/>
        <w:t xml:space="preserve">P. Lestari, M. M. Hanafi, and L. I. Wardhana, "The evolution of Islamic corporate governance from the early ages to the Sustainable Development Goals era," </w:t>
      </w:r>
      <w:r w:rsidRPr="00A750D4">
        <w:rPr>
          <w:rFonts w:ascii="Book Antiqua" w:hAnsi="Book Antiqua"/>
          <w:i/>
          <w:iCs/>
          <w:lang w:val="en-ID"/>
        </w:rPr>
        <w:t>International Journal of Islamic Finance and Sustainable Development</w:t>
      </w:r>
      <w:r w:rsidRPr="00A750D4">
        <w:rPr>
          <w:rFonts w:ascii="Book Antiqua" w:hAnsi="Book Antiqua"/>
          <w:lang w:val="en-ID"/>
        </w:rPr>
        <w:t>, vol. 16, no. 3, pp. 129-150, 2024.</w:t>
      </w:r>
    </w:p>
    <w:p w14:paraId="2B9ED92E" w14:textId="617CEB05" w:rsidR="00A750D4" w:rsidRPr="00A750D4" w:rsidRDefault="00A750D4" w:rsidP="00A750D4">
      <w:pPr>
        <w:spacing w:line="276" w:lineRule="auto"/>
        <w:ind w:left="360" w:hanging="360"/>
        <w:jc w:val="both"/>
        <w:rPr>
          <w:rFonts w:ascii="Book Antiqua" w:hAnsi="Book Antiqua"/>
          <w:lang w:val="en-ID"/>
        </w:rPr>
      </w:pPr>
      <w:r w:rsidRPr="00A750D4">
        <w:rPr>
          <w:rFonts w:ascii="Cambria" w:hAnsi="Cambria" w:cs="Cambria"/>
          <w:lang w:val="en-ID"/>
        </w:rPr>
        <w:t>Ṣ</w:t>
      </w:r>
      <w:r w:rsidRPr="00A750D4">
        <w:rPr>
          <w:rFonts w:ascii="Book Antiqua" w:hAnsi="Book Antiqua"/>
          <w:lang w:val="en-ID"/>
        </w:rPr>
        <w:t>a</w:t>
      </w:r>
      <w:r w:rsidRPr="00A750D4">
        <w:rPr>
          <w:rFonts w:ascii="Cambria" w:hAnsi="Cambria" w:cs="Cambria"/>
          <w:lang w:val="en-ID"/>
        </w:rPr>
        <w:t>ḥ</w:t>
      </w:r>
      <w:r w:rsidRPr="00A750D4">
        <w:rPr>
          <w:rFonts w:ascii="Book Antiqua" w:hAnsi="Book Antiqua" w:cs="Book Antiqua"/>
          <w:lang w:val="en-ID"/>
        </w:rPr>
        <w:t>ī</w:t>
      </w:r>
      <w:r w:rsidRPr="00A750D4">
        <w:rPr>
          <w:rFonts w:ascii="Cambria" w:hAnsi="Cambria" w:cs="Cambria"/>
          <w:lang w:val="en-ID"/>
        </w:rPr>
        <w:t>ḥ</w:t>
      </w:r>
      <w:r w:rsidRPr="00A750D4">
        <w:rPr>
          <w:rFonts w:ascii="Book Antiqua" w:hAnsi="Book Antiqua"/>
          <w:lang w:val="en-ID"/>
        </w:rPr>
        <w:t xml:space="preserve"> al-Bukh</w:t>
      </w:r>
      <w:r w:rsidRPr="00A750D4">
        <w:rPr>
          <w:rFonts w:ascii="Book Antiqua" w:hAnsi="Book Antiqua" w:cs="Book Antiqua"/>
          <w:lang w:val="en-ID"/>
        </w:rPr>
        <w:t>ā</w:t>
      </w:r>
      <w:r w:rsidRPr="00A750D4">
        <w:rPr>
          <w:rFonts w:ascii="Book Antiqua" w:hAnsi="Book Antiqua"/>
          <w:lang w:val="en-ID"/>
        </w:rPr>
        <w:t>r</w:t>
      </w:r>
      <w:r w:rsidRPr="00A750D4">
        <w:rPr>
          <w:rFonts w:ascii="Book Antiqua" w:hAnsi="Book Antiqua" w:cs="Book Antiqua"/>
          <w:lang w:val="en-ID"/>
        </w:rPr>
        <w:t>ī</w:t>
      </w:r>
      <w:r w:rsidRPr="00A750D4">
        <w:rPr>
          <w:rFonts w:ascii="Book Antiqua" w:hAnsi="Book Antiqua"/>
          <w:lang w:val="en-ID"/>
        </w:rPr>
        <w:t xml:space="preserve">, no. 2320; </w:t>
      </w:r>
      <w:r w:rsidRPr="00A750D4">
        <w:rPr>
          <w:rFonts w:ascii="Cambria" w:hAnsi="Cambria" w:cs="Cambria"/>
          <w:lang w:val="en-ID"/>
        </w:rPr>
        <w:t>Ṣ</w:t>
      </w:r>
      <w:r w:rsidRPr="00A750D4">
        <w:rPr>
          <w:rFonts w:ascii="Book Antiqua" w:hAnsi="Book Antiqua"/>
          <w:lang w:val="en-ID"/>
        </w:rPr>
        <w:t>a</w:t>
      </w:r>
      <w:r w:rsidRPr="00A750D4">
        <w:rPr>
          <w:rFonts w:ascii="Cambria" w:hAnsi="Cambria" w:cs="Cambria"/>
          <w:lang w:val="en-ID"/>
        </w:rPr>
        <w:t>ḥ</w:t>
      </w:r>
      <w:r w:rsidRPr="00A750D4">
        <w:rPr>
          <w:rFonts w:ascii="Book Antiqua" w:hAnsi="Book Antiqua" w:cs="Book Antiqua"/>
          <w:lang w:val="en-ID"/>
        </w:rPr>
        <w:t>ī</w:t>
      </w:r>
      <w:r w:rsidRPr="00A750D4">
        <w:rPr>
          <w:rFonts w:ascii="Cambria" w:hAnsi="Cambria" w:cs="Cambria"/>
          <w:lang w:val="en-ID"/>
        </w:rPr>
        <w:t>ḥ</w:t>
      </w:r>
      <w:r w:rsidRPr="00A750D4">
        <w:rPr>
          <w:rFonts w:ascii="Book Antiqua" w:hAnsi="Book Antiqua"/>
          <w:lang w:val="en-ID"/>
        </w:rPr>
        <w:t xml:space="preserve"> Muslim, no. 1553; Sunan Ibn M</w:t>
      </w:r>
      <w:r w:rsidRPr="00A750D4">
        <w:rPr>
          <w:rFonts w:ascii="Book Antiqua" w:hAnsi="Book Antiqua" w:cs="Book Antiqua"/>
          <w:lang w:val="en-ID"/>
        </w:rPr>
        <w:t>ā</w:t>
      </w:r>
      <w:r w:rsidRPr="00A750D4">
        <w:rPr>
          <w:rFonts w:ascii="Book Antiqua" w:hAnsi="Book Antiqua"/>
          <w:lang w:val="en-ID"/>
        </w:rPr>
        <w:t>jah, no. 425.</w:t>
      </w:r>
    </w:p>
    <w:p w14:paraId="483C4A43" w14:textId="1051077F"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 xml:space="preserve">S. H. Nasr, </w:t>
      </w:r>
      <w:r w:rsidRPr="00A750D4">
        <w:rPr>
          <w:rFonts w:ascii="Book Antiqua" w:hAnsi="Book Antiqua"/>
          <w:i/>
          <w:iCs/>
          <w:lang w:val="en-ID"/>
        </w:rPr>
        <w:t>Islam and the Environmental Crisis</w:t>
      </w:r>
      <w:r w:rsidRPr="00A750D4">
        <w:rPr>
          <w:rFonts w:ascii="Book Antiqua" w:hAnsi="Book Antiqua"/>
          <w:lang w:val="en-ID"/>
        </w:rPr>
        <w:t>. ABC International Group, 2015.</w:t>
      </w:r>
    </w:p>
    <w:p w14:paraId="49261985" w14:textId="0F993D1A"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 xml:space="preserve">S. J. Ijimdiya </w:t>
      </w:r>
      <w:r w:rsidRPr="00A750D4">
        <w:rPr>
          <w:rFonts w:ascii="Book Antiqua" w:hAnsi="Book Antiqua"/>
          <w:i/>
          <w:iCs/>
          <w:lang w:val="en-ID"/>
        </w:rPr>
        <w:t>et al</w:t>
      </w:r>
      <w:r w:rsidRPr="00A750D4">
        <w:rPr>
          <w:rFonts w:ascii="Book Antiqua" w:hAnsi="Book Antiqua"/>
          <w:lang w:val="en-ID"/>
        </w:rPr>
        <w:t xml:space="preserve">., "Role of the circular economy framework for sustainable waste management and climate change mitigation," </w:t>
      </w:r>
      <w:r w:rsidRPr="00A750D4">
        <w:rPr>
          <w:rFonts w:ascii="Book Antiqua" w:hAnsi="Book Antiqua"/>
          <w:i/>
          <w:iCs/>
          <w:lang w:val="en-ID"/>
        </w:rPr>
        <w:t>Sustainability</w:t>
      </w:r>
      <w:r w:rsidRPr="00A750D4">
        <w:rPr>
          <w:rFonts w:ascii="Book Antiqua" w:hAnsi="Book Antiqua"/>
          <w:lang w:val="en-ID"/>
        </w:rPr>
        <w:t>, vol. 18, no. 4, Art. no. 1946, 2026.</w:t>
      </w:r>
    </w:p>
    <w:p w14:paraId="09D65B89" w14:textId="04C9B723"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 xml:space="preserve">T. Septiani, I. Fadhila, Monasdir, and K. B. Adelta, "The circular economy from the perspective of Islamic economics: Advancing a sustainable halal production model," </w:t>
      </w:r>
      <w:r w:rsidRPr="00A750D4">
        <w:rPr>
          <w:rFonts w:ascii="Book Antiqua" w:hAnsi="Book Antiqua"/>
          <w:i/>
          <w:iCs/>
          <w:lang w:val="en-ID"/>
        </w:rPr>
        <w:t>Halal Studies and Society</w:t>
      </w:r>
      <w:r w:rsidRPr="00A750D4">
        <w:rPr>
          <w:rFonts w:ascii="Book Antiqua" w:hAnsi="Book Antiqua"/>
          <w:lang w:val="en-ID"/>
        </w:rPr>
        <w:t>, vol. 3, no. 1, pp. 1-15, 2026.</w:t>
      </w:r>
    </w:p>
    <w:p w14:paraId="43F429BB" w14:textId="49835F07"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 xml:space="preserve">United Nations Environment Programme, </w:t>
      </w:r>
      <w:r w:rsidRPr="00A750D4">
        <w:rPr>
          <w:rFonts w:ascii="Book Antiqua" w:hAnsi="Book Antiqua"/>
          <w:i/>
          <w:iCs/>
          <w:lang w:val="en-ID"/>
        </w:rPr>
        <w:t>Making Peace with Nature: A Scientific Blueprint to Tackle the Climate, Biodiversity and Pollution Emergencies</w:t>
      </w:r>
      <w:r w:rsidRPr="00A750D4">
        <w:rPr>
          <w:rFonts w:ascii="Book Antiqua" w:hAnsi="Book Antiqua"/>
          <w:lang w:val="en-ID"/>
        </w:rPr>
        <w:t>. Nairobi, Kenya: UNEP, 2021.</w:t>
      </w:r>
    </w:p>
    <w:p w14:paraId="3FC01E76" w14:textId="4FE17AEA" w:rsidR="00A750D4" w:rsidRPr="00A750D4" w:rsidRDefault="00A750D4" w:rsidP="00A750D4">
      <w:pPr>
        <w:spacing w:line="276" w:lineRule="auto"/>
        <w:ind w:left="360" w:hanging="360"/>
        <w:jc w:val="both"/>
        <w:rPr>
          <w:rFonts w:ascii="Book Antiqua" w:hAnsi="Book Antiqua"/>
          <w:lang w:val="en-ID"/>
        </w:rPr>
      </w:pPr>
      <w:r w:rsidRPr="00A750D4">
        <w:rPr>
          <w:rFonts w:ascii="Book Antiqua" w:hAnsi="Book Antiqua"/>
          <w:lang w:val="en-ID"/>
        </w:rPr>
        <w:t xml:space="preserve">United Nations, </w:t>
      </w:r>
      <w:r w:rsidRPr="00A750D4">
        <w:rPr>
          <w:rFonts w:ascii="Book Antiqua" w:hAnsi="Book Antiqua"/>
          <w:i/>
          <w:iCs/>
          <w:lang w:val="en-ID"/>
        </w:rPr>
        <w:t>Transforming Our World: The 2030 Agenda for Sustainable Development</w:t>
      </w:r>
      <w:r w:rsidRPr="00A750D4">
        <w:rPr>
          <w:rFonts w:ascii="Book Antiqua" w:hAnsi="Book Antiqua"/>
          <w:lang w:val="en-ID"/>
        </w:rPr>
        <w:t>. New York, NY, USA: United Nations, 2015.</w:t>
      </w:r>
    </w:p>
    <w:p w14:paraId="2DEDBD46" w14:textId="485D7227" w:rsidR="009D10B7" w:rsidRPr="00A750D4" w:rsidRDefault="00A750D4" w:rsidP="00A750D4">
      <w:pPr>
        <w:spacing w:line="276" w:lineRule="auto"/>
        <w:ind w:left="360" w:hanging="360"/>
        <w:jc w:val="both"/>
        <w:rPr>
          <w:rFonts w:ascii="Book Antiqua" w:eastAsia="Book Antiqua" w:hAnsi="Book Antiqua" w:cs="Book Antiqua"/>
          <w:color w:val="000000"/>
        </w:rPr>
      </w:pPr>
      <w:r w:rsidRPr="00A750D4">
        <w:rPr>
          <w:rFonts w:ascii="Book Antiqua" w:hAnsi="Book Antiqua"/>
          <w:lang w:val="en-ID"/>
        </w:rPr>
        <w:t xml:space="preserve">Y. Charles Yussuf, "A critical assessment of the circular economy concept in the light of Maqasid Al Shariah," </w:t>
      </w:r>
      <w:r w:rsidRPr="00A750D4">
        <w:rPr>
          <w:rFonts w:ascii="Book Antiqua" w:hAnsi="Book Antiqua"/>
          <w:i/>
          <w:iCs/>
          <w:lang w:val="en-ID"/>
        </w:rPr>
        <w:t>Journal of Islamic Economics and Finance</w:t>
      </w:r>
      <w:r w:rsidRPr="00A750D4">
        <w:rPr>
          <w:rFonts w:ascii="Book Antiqua" w:hAnsi="Book Antiqua"/>
          <w:lang w:val="en-ID"/>
        </w:rPr>
        <w:t>, vol. 8, no. 2, pp. 291-318, 2022, doi: 10.54863/jief.1074828.</w:t>
      </w:r>
    </w:p>
    <w:p w14:paraId="2EF02473" w14:textId="77777777" w:rsidR="004D395D" w:rsidRDefault="004D395D" w:rsidP="004C2FE9">
      <w:pPr>
        <w:spacing w:line="360" w:lineRule="auto"/>
        <w:jc w:val="both"/>
        <w:rPr>
          <w:rFonts w:ascii="Book Antiqua" w:eastAsia="Book Antiqua" w:hAnsi="Book Antiqua" w:cs="Book Antiqua"/>
          <w:color w:val="000000"/>
        </w:rPr>
      </w:pPr>
    </w:p>
    <w:p w14:paraId="0BE8E496" w14:textId="77777777" w:rsidR="009D10B7" w:rsidRDefault="009D10B7" w:rsidP="004C2FE9">
      <w:pPr>
        <w:widowControl w:val="0"/>
        <w:spacing w:line="360" w:lineRule="auto"/>
        <w:ind w:firstLine="397"/>
        <w:jc w:val="both"/>
        <w:rPr>
          <w:rFonts w:ascii="Book Antiqua" w:eastAsia="Book Antiqua" w:hAnsi="Book Antiqua" w:cs="Book Antiqua"/>
        </w:rPr>
      </w:pPr>
      <w:bookmarkStart w:id="5" w:name="_heading=h.1t3h5sf" w:colFirst="0" w:colLast="0"/>
      <w:bookmarkEnd w:id="5"/>
    </w:p>
    <w:sectPr w:rsidR="009D10B7">
      <w:headerReference w:type="default" r:id="rId11"/>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0366B" w14:textId="77777777" w:rsidR="00992F6E" w:rsidRDefault="00992F6E">
      <w:r>
        <w:separator/>
      </w:r>
    </w:p>
  </w:endnote>
  <w:endnote w:type="continuationSeparator" w:id="0">
    <w:p w14:paraId="580E1F8C" w14:textId="77777777" w:rsidR="00992F6E" w:rsidRDefault="00992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EF19A0DD-1727-4E34-BCE0-AED48EA74311}"/>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embedRegular r:id="rId2" w:fontKey="{5307AFF8-C767-4FD6-BFA2-6F1EDFCF5140}"/>
  </w:font>
  <w:font w:name="Calibri">
    <w:panose1 w:val="020F0502020204030204"/>
    <w:charset w:val="00"/>
    <w:family w:val="swiss"/>
    <w:pitch w:val="variable"/>
    <w:sig w:usb0="E4002EFF" w:usb1="C000247B" w:usb2="00000009" w:usb3="00000000" w:csb0="000001FF" w:csb1="00000000"/>
    <w:embedRegular r:id="rId3" w:fontKey="{4C321D3E-CE2A-4ABF-9C61-DB6B0D7A1CBB}"/>
    <w:embedBold r:id="rId4" w:fontKey="{68AC35DE-C77F-4CD0-857D-AC4887E5BC69}"/>
    <w:embedItalic r:id="rId5" w:fontKey="{8728BBEC-B7EA-4D3A-A706-FCF195D3CCBB}"/>
  </w:font>
  <w:font w:name="NimbusRomNo9L-Medi">
    <w:panose1 w:val="00000000000000000000"/>
    <w:charset w:val="00"/>
    <w:family w:val="roman"/>
    <w:notTrueType/>
    <w:pitch w:val="default"/>
  </w:font>
  <w:font w:name="NimbusRomNo9L-Regu">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6" w:fontKey="{1119E171-61BA-44CC-9A0B-40E4E95950DF}"/>
    <w:embedItalic r:id="rId7" w:fontKey="{6CC3C309-E9C8-4CF2-9207-92EFEE18A2D2}"/>
  </w:font>
  <w:font w:name="Consolas">
    <w:panose1 w:val="020B0609020204030204"/>
    <w:charset w:val="00"/>
    <w:family w:val="modern"/>
    <w:pitch w:val="fixed"/>
    <w:sig w:usb0="E00006FF" w:usb1="0000FCFF" w:usb2="00000001" w:usb3="00000000" w:csb0="0000019F" w:csb1="00000000"/>
    <w:embedRegular r:id="rId8" w:fontKey="{D6644E2D-DA0E-44D8-B15B-71051395E2A8}"/>
  </w:font>
  <w:font w:name="Arial">
    <w:panose1 w:val="020B0604020202020204"/>
    <w:charset w:val="00"/>
    <w:family w:val="swiss"/>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embedRegular r:id="rId9" w:fontKey="{C4F43FBC-0F65-495E-91A8-ADA941C84CF2}"/>
    <w:embedBold r:id="rId10" w:fontKey="{862C696D-FC6A-43CB-83E6-6C9F1B75D128}"/>
    <w:embedItalic r:id="rId11" w:fontKey="{C9D2861B-E429-49E8-BA62-DE05FA91C168}"/>
    <w:embedBoldItalic r:id="rId12" w:fontKey="{E138195C-7771-4862-8A8F-13849C736CD1}"/>
  </w:font>
  <w:font w:name="Cambria">
    <w:panose1 w:val="02040503050406030204"/>
    <w:charset w:val="00"/>
    <w:family w:val="roman"/>
    <w:pitch w:val="variable"/>
    <w:sig w:usb0="E00006FF" w:usb1="420024FF" w:usb2="02000000" w:usb3="00000000" w:csb0="0000019F" w:csb1="00000000"/>
    <w:embedRegular r:id="rId13" w:fontKey="{60A3795D-3359-4715-9856-BA0674BE365E}"/>
    <w:embedBold r:id="rId14" w:fontKey="{F3BE3D9F-BDB7-4999-B613-428716985B9E}"/>
    <w:embedItalic r:id="rId15" w:fontKey="{4BE8BFD8-B63D-4DCF-A2C6-450F80E48218}"/>
  </w:font>
  <w:font w:name="Garamond">
    <w:panose1 w:val="02020404030301010803"/>
    <w:charset w:val="00"/>
    <w:family w:val="roman"/>
    <w:pitch w:val="variable"/>
    <w:sig w:usb0="00000287" w:usb1="00000000" w:usb2="00000000" w:usb3="00000000" w:csb0="0000009F" w:csb1="00000000"/>
    <w:embedBold r:id="rId16" w:fontKey="{3AD99F41-4C58-491B-BD58-2A17217730C2}"/>
    <w:embedItalic r:id="rId17" w:fontKey="{2213DCEE-A67D-4D8F-9DB8-D2AA11BB3F4A}"/>
  </w:font>
  <w:font w:name="Calibri Light">
    <w:panose1 w:val="020F0302020204030204"/>
    <w:charset w:val="00"/>
    <w:family w:val="swiss"/>
    <w:pitch w:val="variable"/>
    <w:sig w:usb0="E4002EFF" w:usb1="C000247B" w:usb2="00000009" w:usb3="00000000" w:csb0="000001FF" w:csb1="00000000"/>
    <w:embedRegular r:id="rId18" w:fontKey="{3DD5EFF8-DA55-4049-8F08-3284065E345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A0AF7" w14:textId="07A61AFE" w:rsidR="009D10B7" w:rsidRDefault="00000000">
    <w:pPr>
      <w:pBdr>
        <w:top w:val="nil"/>
        <w:left w:val="nil"/>
        <w:bottom w:val="nil"/>
        <w:right w:val="nil"/>
        <w:between w:val="nil"/>
      </w:pBdr>
      <w:tabs>
        <w:tab w:val="center" w:pos="4680"/>
        <w:tab w:val="right" w:pos="9360"/>
      </w:tabs>
      <w:jc w:val="right"/>
      <w:rPr>
        <w:rFonts w:ascii="Book Antiqua" w:eastAsia="Book Antiqua" w:hAnsi="Book Antiqua" w:cs="Book Antiqua"/>
        <w:color w:val="000000"/>
        <w:sz w:val="18"/>
        <w:szCs w:val="18"/>
      </w:rPr>
    </w:pPr>
    <w:r>
      <w:rPr>
        <w:rFonts w:ascii="Book Antiqua" w:eastAsia="Book Antiqua" w:hAnsi="Book Antiqua" w:cs="Book Antiqua"/>
        <w:i/>
        <w:color w:val="000000"/>
        <w:sz w:val="18"/>
        <w:szCs w:val="18"/>
      </w:rPr>
      <w:t>Jespb 202</w:t>
    </w:r>
    <w:r w:rsidR="00C13444">
      <w:rPr>
        <w:rFonts w:ascii="Book Antiqua" w:eastAsia="Book Antiqua" w:hAnsi="Book Antiqua" w:cs="Book Antiqua"/>
        <w:i/>
        <w:color w:val="000000"/>
        <w:sz w:val="18"/>
        <w:szCs w:val="18"/>
      </w:rPr>
      <w:t>6</w:t>
    </w:r>
    <w:r>
      <w:rPr>
        <w:rFonts w:ascii="Book Antiqua" w:eastAsia="Book Antiqua" w:hAnsi="Book Antiqua" w:cs="Book Antiqua"/>
        <w:color w:val="000000"/>
        <w:sz w:val="18"/>
        <w:szCs w:val="18"/>
      </w:rPr>
      <w:t xml:space="preserve">| </w:t>
    </w:r>
    <w:r>
      <w:rPr>
        <w:rFonts w:ascii="Book Antiqua" w:eastAsia="Book Antiqua" w:hAnsi="Book Antiqua" w:cs="Book Antiqua"/>
        <w:color w:val="000000"/>
        <w:sz w:val="18"/>
        <w:szCs w:val="18"/>
      </w:rPr>
      <w:fldChar w:fldCharType="begin"/>
    </w:r>
    <w:r>
      <w:rPr>
        <w:rFonts w:ascii="Book Antiqua" w:eastAsia="Book Antiqua" w:hAnsi="Book Antiqua" w:cs="Book Antiqua"/>
        <w:color w:val="000000"/>
        <w:sz w:val="18"/>
        <w:szCs w:val="18"/>
      </w:rPr>
      <w:instrText>PAGE</w:instrText>
    </w:r>
    <w:r>
      <w:rPr>
        <w:rFonts w:ascii="Book Antiqua" w:eastAsia="Book Antiqua" w:hAnsi="Book Antiqua" w:cs="Book Antiqua"/>
        <w:color w:val="000000"/>
        <w:sz w:val="18"/>
        <w:szCs w:val="18"/>
      </w:rPr>
      <w:fldChar w:fldCharType="separate"/>
    </w:r>
    <w:r w:rsidR="00556668">
      <w:rPr>
        <w:rFonts w:ascii="Book Antiqua" w:eastAsia="Book Antiqua" w:hAnsi="Book Antiqua" w:cs="Book Antiqua"/>
        <w:noProof/>
        <w:color w:val="000000"/>
        <w:sz w:val="18"/>
        <w:szCs w:val="18"/>
      </w:rPr>
      <w:t>1</w:t>
    </w:r>
    <w:r>
      <w:rPr>
        <w:rFonts w:ascii="Book Antiqua" w:eastAsia="Book Antiqua" w:hAnsi="Book Antiqua" w:cs="Book Antiqua"/>
        <w:color w:val="000000"/>
        <w:sz w:val="18"/>
        <w:szCs w:val="18"/>
      </w:rPr>
      <w:fldChar w:fldCharType="end"/>
    </w:r>
    <w:r>
      <w:rPr>
        <w:rFonts w:ascii="Book Antiqua" w:eastAsia="Book Antiqua" w:hAnsi="Book Antiqua" w:cs="Book Antiqua"/>
        <w:color w:val="000000"/>
        <w:sz w:val="18"/>
        <w:szCs w:val="18"/>
      </w:rPr>
      <w:t xml:space="preserve"> </w:t>
    </w:r>
  </w:p>
  <w:p w14:paraId="73D38B68" w14:textId="77777777" w:rsidR="009D10B7" w:rsidRDefault="009D10B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EDE39" w14:textId="77777777" w:rsidR="00992F6E" w:rsidRDefault="00992F6E">
      <w:r>
        <w:separator/>
      </w:r>
    </w:p>
  </w:footnote>
  <w:footnote w:type="continuationSeparator" w:id="0">
    <w:p w14:paraId="10B7AAA8" w14:textId="77777777" w:rsidR="00992F6E" w:rsidRDefault="00992F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E6784" w14:textId="77777777" w:rsidR="009D10B7" w:rsidRDefault="00000000">
    <w:pPr>
      <w:pBdr>
        <w:top w:val="nil"/>
        <w:left w:val="nil"/>
        <w:bottom w:val="nil"/>
        <w:right w:val="nil"/>
        <w:between w:val="nil"/>
      </w:pBdr>
      <w:tabs>
        <w:tab w:val="center" w:pos="4680"/>
        <w:tab w:val="right" w:pos="9360"/>
      </w:tabs>
      <w:rPr>
        <w:rFonts w:ascii="Book Antiqua" w:eastAsia="Book Antiqua" w:hAnsi="Book Antiqua" w:cs="Book Antiqua"/>
        <w:b/>
        <w:color w:val="000000"/>
      </w:rPr>
    </w:pPr>
    <w:r>
      <w:rPr>
        <w:rFonts w:ascii="Book Antiqua" w:eastAsia="Book Antiqua" w:hAnsi="Book Antiqua" w:cs="Book Antiqua"/>
        <w:b/>
        <w:color w:val="000000"/>
      </w:rPr>
      <w:t>Jurnal Ekonomi Syariah Pelita Bangsa</w:t>
    </w:r>
  </w:p>
  <w:p w14:paraId="6296067F" w14:textId="08E14341" w:rsidR="009D10B7" w:rsidRDefault="00000000">
    <w:pPr>
      <w:pBdr>
        <w:top w:val="nil"/>
        <w:left w:val="nil"/>
        <w:bottom w:val="nil"/>
        <w:right w:val="nil"/>
        <w:between w:val="nil"/>
      </w:pBdr>
      <w:tabs>
        <w:tab w:val="center" w:pos="4680"/>
        <w:tab w:val="right" w:pos="9360"/>
      </w:tabs>
      <w:rPr>
        <w:rFonts w:ascii="Book Antiqua" w:eastAsia="Book Antiqua" w:hAnsi="Book Antiqua" w:cs="Book Antiqua"/>
        <w:color w:val="000000"/>
      </w:rPr>
    </w:pPr>
    <w:r>
      <w:rPr>
        <w:rFonts w:ascii="Book Antiqua" w:eastAsia="Book Antiqua" w:hAnsi="Book Antiqua" w:cs="Book Antiqua"/>
        <w:color w:val="000000"/>
      </w:rPr>
      <w:t xml:space="preserve">Vol. </w:t>
    </w:r>
    <w:r w:rsidR="00C13444">
      <w:rPr>
        <w:rFonts w:ascii="Book Antiqua" w:eastAsia="Book Antiqua" w:hAnsi="Book Antiqua" w:cs="Book Antiqua"/>
        <w:color w:val="000000"/>
      </w:rPr>
      <w:t>11</w:t>
    </w:r>
    <w:r>
      <w:rPr>
        <w:rFonts w:ascii="Book Antiqua" w:eastAsia="Book Antiqua" w:hAnsi="Book Antiqua" w:cs="Book Antiqua"/>
        <w:color w:val="000000"/>
      </w:rPr>
      <w:t>, No. 0</w:t>
    </w:r>
    <w:r w:rsidR="00C13444">
      <w:rPr>
        <w:rFonts w:ascii="Book Antiqua" w:eastAsia="Book Antiqua" w:hAnsi="Book Antiqua" w:cs="Book Antiqua"/>
        <w:color w:val="000000"/>
      </w:rPr>
      <w:t>2</w:t>
    </w:r>
    <w:r>
      <w:rPr>
        <w:rFonts w:ascii="Book Antiqua" w:eastAsia="Book Antiqua" w:hAnsi="Book Antiqua" w:cs="Book Antiqua"/>
        <w:color w:val="000000"/>
      </w:rPr>
      <w:t xml:space="preserve">, </w:t>
    </w:r>
    <w:r w:rsidR="00C13444">
      <w:rPr>
        <w:rFonts w:ascii="Book Antiqua" w:eastAsia="Book Antiqua" w:hAnsi="Book Antiqua" w:cs="Book Antiqua"/>
        <w:color w:val="000000"/>
      </w:rPr>
      <w:t>Oktober</w:t>
    </w:r>
    <w:r>
      <w:rPr>
        <w:rFonts w:ascii="Book Antiqua" w:eastAsia="Book Antiqua" w:hAnsi="Book Antiqua" w:cs="Book Antiqua"/>
        <w:color w:val="000000"/>
      </w:rPr>
      <w:t xml:space="preserve"> 20</w:t>
    </w:r>
    <w:r w:rsidR="00C13444">
      <w:rPr>
        <w:rFonts w:ascii="Book Antiqua" w:eastAsia="Book Antiqua" w:hAnsi="Book Antiqua" w:cs="Book Antiqua"/>
        <w:color w:val="000000"/>
      </w:rPr>
      <w:t>26</w:t>
    </w:r>
  </w:p>
  <w:p w14:paraId="30842448" w14:textId="77777777" w:rsidR="009D10B7" w:rsidRDefault="00000000">
    <w:pPr>
      <w:pBdr>
        <w:top w:val="nil"/>
        <w:left w:val="nil"/>
        <w:bottom w:val="nil"/>
        <w:right w:val="nil"/>
        <w:between w:val="nil"/>
      </w:pBdr>
      <w:tabs>
        <w:tab w:val="center" w:pos="4680"/>
        <w:tab w:val="right" w:pos="9360"/>
      </w:tabs>
      <w:rPr>
        <w:rFonts w:ascii="Book Antiqua" w:eastAsia="Book Antiqua" w:hAnsi="Book Antiqua" w:cs="Book Antiqua"/>
        <w:color w:val="000000"/>
      </w:rPr>
    </w:pPr>
    <w:r>
      <w:rPr>
        <w:rFonts w:ascii="Book Antiqua" w:eastAsia="Book Antiqua" w:hAnsi="Book Antiqua" w:cs="Book Antiqua"/>
        <w:color w:val="000000"/>
      </w:rPr>
      <w:t>E-ISSN: 2745-7621/P-ISSN: 2528-0244</w:t>
    </w:r>
  </w:p>
  <w:p w14:paraId="5870B872" w14:textId="77777777" w:rsidR="009D10B7" w:rsidRDefault="009D10B7">
    <w:pPr>
      <w:pBdr>
        <w:top w:val="nil"/>
        <w:left w:val="nil"/>
        <w:bottom w:val="nil"/>
        <w:right w:val="nil"/>
        <w:between w:val="nil"/>
      </w:pBdr>
      <w:tabs>
        <w:tab w:val="center" w:pos="4680"/>
        <w:tab w:val="right" w:pos="9360"/>
      </w:tabs>
      <w:rPr>
        <w:rFonts w:ascii="Book Antiqua" w:eastAsia="Book Antiqua" w:hAnsi="Book Antiqua" w:cs="Book Antiqua"/>
        <w:b/>
        <w:i/>
        <w:color w:val="000000"/>
      </w:rPr>
    </w:pPr>
    <w:hyperlink r:id="rId1">
      <w:r>
        <w:rPr>
          <w:rFonts w:ascii="Book Antiqua" w:eastAsia="Book Antiqua" w:hAnsi="Book Antiqua" w:cs="Book Antiqua"/>
          <w:b/>
          <w:i/>
          <w:color w:val="0563C1"/>
          <w:u w:val="single"/>
        </w:rPr>
        <w:t>https://journal.lppmpelitabangsa.id/index.php/jespb</w:t>
      </w:r>
    </w:hyperlink>
    <w:r>
      <w:rPr>
        <w:rFonts w:ascii="Book Antiqua" w:eastAsia="Book Antiqua" w:hAnsi="Book Antiqua" w:cs="Book Antiqua"/>
        <w:b/>
        <w:i/>
        <w:color w:val="000000"/>
      </w:rPr>
      <w:t xml:space="preserve"> </w:t>
    </w:r>
  </w:p>
  <w:p w14:paraId="7760C288" w14:textId="2C2F9E3E" w:rsidR="009D10B7" w:rsidRDefault="00C13444">
    <w:pPr>
      <w:pBdr>
        <w:top w:val="nil"/>
        <w:left w:val="nil"/>
        <w:bottom w:val="nil"/>
        <w:right w:val="nil"/>
        <w:between w:val="nil"/>
      </w:pBdr>
      <w:tabs>
        <w:tab w:val="center" w:pos="4680"/>
        <w:tab w:val="right" w:pos="9360"/>
      </w:tabs>
      <w:jc w:val="right"/>
      <w:rPr>
        <w:color w:val="000000"/>
      </w:rPr>
    </w:pPr>
    <w:r>
      <w:rPr>
        <w:noProof/>
        <w14:ligatures w14:val="standardContextual"/>
      </w:rPr>
      <mc:AlternateContent>
        <mc:Choice Requires="wps">
          <w:drawing>
            <wp:anchor distT="0" distB="0" distL="114300" distR="114300" simplePos="0" relativeHeight="251661312" behindDoc="0" locked="0" layoutInCell="1" allowOverlap="1" wp14:anchorId="39D677EE" wp14:editId="203836D9">
              <wp:simplePos x="0" y="0"/>
              <wp:positionH relativeFrom="column">
                <wp:posOffset>0</wp:posOffset>
              </wp:positionH>
              <wp:positionV relativeFrom="paragraph">
                <wp:posOffset>85725</wp:posOffset>
              </wp:positionV>
              <wp:extent cx="5924550" cy="0"/>
              <wp:effectExtent l="0" t="0" r="0" b="0"/>
              <wp:wrapNone/>
              <wp:docPr id="1800004823" name="Straight Connector 1"/>
              <wp:cNvGraphicFramePr/>
              <a:graphic xmlns:a="http://schemas.openxmlformats.org/drawingml/2006/main">
                <a:graphicData uri="http://schemas.microsoft.com/office/word/2010/wordprocessingShape">
                  <wps:wsp>
                    <wps:cNvCnPr/>
                    <wps:spPr>
                      <a:xfrm>
                        <a:off x="0" y="0"/>
                        <a:ext cx="592455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2AAEC0"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6.75pt" to="466.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" strokecolor="black [3200]" strokeweight="1.5pt">
              <v:stroke joinstyle="miter"/>
            </v:line>
          </w:pict>
        </mc:Fallback>
      </mc:AlternateContent>
    </w:r>
    <w:r>
      <w:rPr>
        <w:noProof/>
      </w:rPr>
      <mc:AlternateContent>
        <mc:Choice Requires="wps">
          <w:drawing>
            <wp:anchor distT="0" distB="0" distL="114300" distR="114300" simplePos="0" relativeHeight="251658240" behindDoc="0" locked="0" layoutInCell="1" hidden="0" allowOverlap="1" wp14:anchorId="4AC9034D" wp14:editId="1C908215">
              <wp:simplePos x="0" y="0"/>
              <wp:positionH relativeFrom="column">
                <wp:posOffset>12701</wp:posOffset>
              </wp:positionH>
              <wp:positionV relativeFrom="paragraph">
                <wp:posOffset>76200</wp:posOffset>
              </wp:positionV>
              <wp:extent cx="0" cy="19050"/>
              <wp:effectExtent l="0" t="0" r="0" b="0"/>
              <wp:wrapNone/>
              <wp:docPr id="1800004824" name="Straight Arrow Connector 1800004824"/>
              <wp:cNvGraphicFramePr/>
              <a:graphic xmlns:a="http://schemas.openxmlformats.org/drawingml/2006/main">
                <a:graphicData uri="http://schemas.microsoft.com/office/word/2010/wordprocessingShape">
                  <wps:wsp>
                    <wps:cNvCnPr/>
                    <wps:spPr>
                      <a:xfrm>
                        <a:off x="2383725" y="3780000"/>
                        <a:ext cx="5924550" cy="0"/>
                      </a:xfrm>
                      <a:prstGeom prst="straightConnector1">
                        <a:avLst/>
                      </a:prstGeom>
                      <a:noFill/>
                      <a:ln w="19050"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12701</wp:posOffset>
              </wp:positionH>
              <wp:positionV relativeFrom="paragraph">
                <wp:posOffset>76200</wp:posOffset>
              </wp:positionV>
              <wp:extent cx="0" cy="19050"/>
              <wp:effectExtent b="0" l="0" r="0" t="0"/>
              <wp:wrapNone/>
              <wp:docPr id="1800004824"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0" cy="19050"/>
                      </a:xfrm>
                      <a:prstGeom prst="rect"/>
                      <a:ln/>
                    </pic:spPr>
                  </pic:pic>
                </a:graphicData>
              </a:graphic>
            </wp:anchor>
          </w:drawing>
        </mc:Fallback>
      </mc:AlternateContent>
    </w:r>
  </w:p>
  <w:p w14:paraId="5613C26E" w14:textId="77777777" w:rsidR="009D10B7" w:rsidRDefault="009D10B7">
    <w:pPr>
      <w:pBdr>
        <w:top w:val="nil"/>
        <w:left w:val="nil"/>
        <w:bottom w:val="nil"/>
        <w:right w:val="nil"/>
        <w:between w:val="nil"/>
      </w:pBdr>
      <w:tabs>
        <w:tab w:val="center" w:pos="4680"/>
        <w:tab w:val="right" w:pos="9360"/>
      </w:tabs>
      <w:jc w:val="righ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5DB3C" w14:textId="77777777" w:rsidR="009D10B7" w:rsidRDefault="00000000">
    <w:pPr>
      <w:pBdr>
        <w:top w:val="nil"/>
        <w:left w:val="nil"/>
        <w:bottom w:val="nil"/>
        <w:right w:val="nil"/>
        <w:between w:val="nil"/>
      </w:pBdr>
      <w:tabs>
        <w:tab w:val="center" w:pos="4680"/>
        <w:tab w:val="right" w:pos="9360"/>
      </w:tabs>
      <w:rPr>
        <w:rFonts w:ascii="Book Antiqua" w:eastAsia="Book Antiqua" w:hAnsi="Book Antiqua" w:cs="Book Antiqua"/>
        <w:b/>
        <w:color w:val="000000"/>
      </w:rPr>
    </w:pPr>
    <w:r>
      <w:rPr>
        <w:rFonts w:ascii="Book Antiqua" w:eastAsia="Book Antiqua" w:hAnsi="Book Antiqua" w:cs="Book Antiqua"/>
        <w:b/>
        <w:color w:val="000000"/>
      </w:rPr>
      <w:t>Jurnal Ekonomi Syariah Pelita Bangsa</w:t>
    </w:r>
  </w:p>
  <w:p w14:paraId="5B68497D" w14:textId="77777777" w:rsidR="009D10B7" w:rsidRDefault="009D10B7">
    <w:pPr>
      <w:pBdr>
        <w:top w:val="nil"/>
        <w:left w:val="nil"/>
        <w:bottom w:val="nil"/>
        <w:right w:val="nil"/>
        <w:between w:val="nil"/>
      </w:pBdr>
      <w:tabs>
        <w:tab w:val="center" w:pos="4680"/>
        <w:tab w:val="right" w:pos="9360"/>
      </w:tabs>
      <w:rPr>
        <w:rFonts w:ascii="Book Antiqua" w:eastAsia="Book Antiqua" w:hAnsi="Book Antiqua" w:cs="Book Antiqua"/>
        <w:b/>
        <w:i/>
        <w:color w:val="000000"/>
      </w:rPr>
    </w:pPr>
    <w:hyperlink r:id="rId1">
      <w:r>
        <w:rPr>
          <w:rFonts w:ascii="Book Antiqua" w:eastAsia="Book Antiqua" w:hAnsi="Book Antiqua" w:cs="Book Antiqua"/>
          <w:b/>
          <w:i/>
          <w:color w:val="0563C1"/>
          <w:u w:val="single"/>
        </w:rPr>
        <w:t>https://journal.lppmpelitabangsa.id/index.php/jespb</w:t>
      </w:r>
    </w:hyperlink>
    <w:r>
      <w:rPr>
        <w:rFonts w:ascii="Book Antiqua" w:eastAsia="Book Antiqua" w:hAnsi="Book Antiqua" w:cs="Book Antiqua"/>
        <w:b/>
        <w:i/>
        <w:color w:val="000000"/>
      </w:rPr>
      <w:t xml:space="preserve"> </w:t>
    </w:r>
  </w:p>
  <w:p w14:paraId="4AD81F32" w14:textId="2D5ABD15" w:rsidR="009D10B7" w:rsidRDefault="00C13444">
    <w:pPr>
      <w:pBdr>
        <w:top w:val="nil"/>
        <w:left w:val="nil"/>
        <w:bottom w:val="nil"/>
        <w:right w:val="nil"/>
        <w:between w:val="nil"/>
      </w:pBdr>
      <w:tabs>
        <w:tab w:val="center" w:pos="4680"/>
        <w:tab w:val="right" w:pos="9360"/>
      </w:tabs>
      <w:jc w:val="right"/>
      <w:rPr>
        <w:color w:val="000000"/>
      </w:rPr>
    </w:pPr>
    <w:r>
      <w:rPr>
        <w:noProof/>
        <w14:ligatures w14:val="standardContextual"/>
      </w:rPr>
      <mc:AlternateContent>
        <mc:Choice Requires="wps">
          <w:drawing>
            <wp:anchor distT="0" distB="0" distL="114300" distR="114300" simplePos="0" relativeHeight="251663360" behindDoc="0" locked="0" layoutInCell="1" allowOverlap="1" wp14:anchorId="0D1492D1" wp14:editId="6743ADCB">
              <wp:simplePos x="0" y="0"/>
              <wp:positionH relativeFrom="column">
                <wp:posOffset>0</wp:posOffset>
              </wp:positionH>
              <wp:positionV relativeFrom="paragraph">
                <wp:posOffset>85725</wp:posOffset>
              </wp:positionV>
              <wp:extent cx="5924550" cy="0"/>
              <wp:effectExtent l="0" t="0" r="0" b="0"/>
              <wp:wrapNone/>
              <wp:docPr id="2120846383" name="Straight Connector 1"/>
              <wp:cNvGraphicFramePr/>
              <a:graphic xmlns:a="http://schemas.openxmlformats.org/drawingml/2006/main">
                <a:graphicData uri="http://schemas.microsoft.com/office/word/2010/wordprocessingShape">
                  <wps:wsp>
                    <wps:cNvCnPr/>
                    <wps:spPr>
                      <a:xfrm>
                        <a:off x="0" y="0"/>
                        <a:ext cx="592455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747C3C"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6.75pt" to="466.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" strokecolor="black [3200]" strokeweight="1.5pt">
              <v:stroke joinstyle="miter"/>
            </v:line>
          </w:pict>
        </mc:Fallback>
      </mc:AlternateContent>
    </w:r>
    <w:r>
      <w:rPr>
        <w:noProof/>
      </w:rPr>
      <mc:AlternateContent>
        <mc:Choice Requires="wps">
          <w:drawing>
            <wp:anchor distT="0" distB="0" distL="114300" distR="114300" simplePos="0" relativeHeight="251659264" behindDoc="0" locked="0" layoutInCell="1" hidden="0" allowOverlap="1" wp14:anchorId="6EDB22B0" wp14:editId="67CEA994">
              <wp:simplePos x="0" y="0"/>
              <wp:positionH relativeFrom="column">
                <wp:posOffset>12701</wp:posOffset>
              </wp:positionH>
              <wp:positionV relativeFrom="paragraph">
                <wp:posOffset>76200</wp:posOffset>
              </wp:positionV>
              <wp:extent cx="0" cy="19050"/>
              <wp:effectExtent l="0" t="0" r="0" b="0"/>
              <wp:wrapNone/>
              <wp:docPr id="1800004825" name="Straight Arrow Connector 1800004825"/>
              <wp:cNvGraphicFramePr/>
              <a:graphic xmlns:a="http://schemas.openxmlformats.org/drawingml/2006/main">
                <a:graphicData uri="http://schemas.microsoft.com/office/word/2010/wordprocessingShape">
                  <wps:wsp>
                    <wps:cNvCnPr/>
                    <wps:spPr>
                      <a:xfrm>
                        <a:off x="2383725" y="3780000"/>
                        <a:ext cx="5924550" cy="0"/>
                      </a:xfrm>
                      <a:prstGeom prst="straightConnector1">
                        <a:avLst/>
                      </a:prstGeom>
                      <a:noFill/>
                      <a:ln w="19050"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12701</wp:posOffset>
              </wp:positionH>
              <wp:positionV relativeFrom="paragraph">
                <wp:posOffset>76200</wp:posOffset>
              </wp:positionV>
              <wp:extent cx="0" cy="19050"/>
              <wp:effectExtent b="0" l="0" r="0" t="0"/>
              <wp:wrapNone/>
              <wp:docPr id="1800004825"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0" cy="19050"/>
                      </a:xfrm>
                      <a:prstGeom prst="rect"/>
                      <a:ln/>
                    </pic:spPr>
                  </pic:pic>
                </a:graphicData>
              </a:graphic>
            </wp:anchor>
          </w:drawing>
        </mc:Fallback>
      </mc:AlternateContent>
    </w:r>
  </w:p>
  <w:p w14:paraId="60319262" w14:textId="77777777" w:rsidR="009D10B7" w:rsidRDefault="009D10B7">
    <w:pPr>
      <w:pBdr>
        <w:top w:val="nil"/>
        <w:left w:val="nil"/>
        <w:bottom w:val="nil"/>
        <w:right w:val="nil"/>
        <w:between w:val="nil"/>
      </w:pBdr>
      <w:tabs>
        <w:tab w:val="center" w:pos="4680"/>
        <w:tab w:val="right" w:pos="9360"/>
      </w:tabs>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9A2273"/>
    <w:multiLevelType w:val="multilevel"/>
    <w:tmpl w:val="7BCCAAEA"/>
    <w:lvl w:ilvl="0">
      <w:start w:val="1"/>
      <w:numFmt w:val="decimal"/>
      <w:lvlText w:val="[%1]"/>
      <w:lvlJc w:val="left"/>
      <w:pPr>
        <w:ind w:left="990" w:hanging="360"/>
      </w:pPr>
      <w:rPr>
        <w:rFonts w:ascii="Times New Roman" w:eastAsia="Times New Roman" w:hAnsi="Times New Roman" w:cs="Times New Roman"/>
        <w:b/>
        <w:sz w:val="18"/>
        <w:szCs w:val="18"/>
      </w:rPr>
    </w:lvl>
    <w:lvl w:ilvl="1">
      <w:start w:val="1"/>
      <w:numFmt w:val="lowerLetter"/>
      <w:lvlText w:val="%2."/>
      <w:lvlJc w:val="left"/>
      <w:pPr>
        <w:ind w:left="2070" w:hanging="360"/>
      </w:pPr>
    </w:lvl>
    <w:lvl w:ilvl="2">
      <w:start w:val="1"/>
      <w:numFmt w:val="lowerRoman"/>
      <w:lvlText w:val="%3."/>
      <w:lvlJc w:val="right"/>
      <w:pPr>
        <w:ind w:left="2790" w:hanging="180"/>
      </w:pPr>
    </w:lvl>
    <w:lvl w:ilvl="3">
      <w:start w:val="1"/>
      <w:numFmt w:val="decimal"/>
      <w:lvlText w:val="%4."/>
      <w:lvlJc w:val="left"/>
      <w:pPr>
        <w:ind w:left="3510" w:hanging="360"/>
      </w:pPr>
    </w:lvl>
    <w:lvl w:ilvl="4">
      <w:start w:val="1"/>
      <w:numFmt w:val="lowerLetter"/>
      <w:lvlText w:val="%5."/>
      <w:lvlJc w:val="left"/>
      <w:pPr>
        <w:ind w:left="4230" w:hanging="360"/>
      </w:pPr>
    </w:lvl>
    <w:lvl w:ilvl="5">
      <w:start w:val="1"/>
      <w:numFmt w:val="lowerRoman"/>
      <w:lvlText w:val="%6."/>
      <w:lvlJc w:val="right"/>
      <w:pPr>
        <w:ind w:left="4950" w:hanging="180"/>
      </w:pPr>
    </w:lvl>
    <w:lvl w:ilvl="6">
      <w:start w:val="1"/>
      <w:numFmt w:val="decimal"/>
      <w:lvlText w:val="%7."/>
      <w:lvlJc w:val="left"/>
      <w:pPr>
        <w:ind w:left="5670" w:hanging="360"/>
      </w:pPr>
    </w:lvl>
    <w:lvl w:ilvl="7">
      <w:start w:val="1"/>
      <w:numFmt w:val="lowerLetter"/>
      <w:lvlText w:val="%8."/>
      <w:lvlJc w:val="left"/>
      <w:pPr>
        <w:ind w:left="6390" w:hanging="360"/>
      </w:pPr>
    </w:lvl>
    <w:lvl w:ilvl="8">
      <w:start w:val="1"/>
      <w:numFmt w:val="lowerRoman"/>
      <w:lvlText w:val="%9."/>
      <w:lvlJc w:val="right"/>
      <w:pPr>
        <w:ind w:left="7110" w:hanging="180"/>
      </w:pPr>
    </w:lvl>
  </w:abstractNum>
  <w:abstractNum w:abstractNumId="1" w15:restartNumberingAfterBreak="0">
    <w:nsid w:val="53215275"/>
    <w:multiLevelType w:val="multilevel"/>
    <w:tmpl w:val="199E3C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0FF67D9"/>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1460248"/>
    <w:multiLevelType w:val="multilevel"/>
    <w:tmpl w:val="1A8E441C"/>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9CF0AF2"/>
    <w:multiLevelType w:val="multilevel"/>
    <w:tmpl w:val="0409001F"/>
    <w:lvl w:ilvl="0">
      <w:start w:val="1"/>
      <w:numFmt w:val="decimal"/>
      <w:lvlText w:val="%1."/>
      <w:lvlJc w:val="left"/>
      <w:pPr>
        <w:ind w:left="360" w:hanging="360"/>
      </w:pPr>
      <w:rPr>
        <w:b/>
        <w:i w:val="0"/>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CFD7BFA"/>
    <w:multiLevelType w:val="multilevel"/>
    <w:tmpl w:val="133A0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5920129">
    <w:abstractNumId w:val="4"/>
  </w:num>
  <w:num w:numId="2" w16cid:durableId="1874688979">
    <w:abstractNumId w:val="0"/>
  </w:num>
  <w:num w:numId="3" w16cid:durableId="1375545204">
    <w:abstractNumId w:val="1"/>
  </w:num>
  <w:num w:numId="4" w16cid:durableId="67120545">
    <w:abstractNumId w:val="2"/>
  </w:num>
  <w:num w:numId="5" w16cid:durableId="1264798820">
    <w:abstractNumId w:val="3"/>
  </w:num>
  <w:num w:numId="6" w16cid:durableId="7362451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0B7"/>
    <w:rsid w:val="001A7071"/>
    <w:rsid w:val="002131CA"/>
    <w:rsid w:val="00225F22"/>
    <w:rsid w:val="00365977"/>
    <w:rsid w:val="003B14B4"/>
    <w:rsid w:val="003D6A8C"/>
    <w:rsid w:val="0047139F"/>
    <w:rsid w:val="004817DF"/>
    <w:rsid w:val="004C20A5"/>
    <w:rsid w:val="004C2FE9"/>
    <w:rsid w:val="004D395D"/>
    <w:rsid w:val="004E3325"/>
    <w:rsid w:val="004E6E7C"/>
    <w:rsid w:val="00556668"/>
    <w:rsid w:val="00576D2B"/>
    <w:rsid w:val="00651C62"/>
    <w:rsid w:val="0076184A"/>
    <w:rsid w:val="00913161"/>
    <w:rsid w:val="009635F0"/>
    <w:rsid w:val="00992F6E"/>
    <w:rsid w:val="009D10B7"/>
    <w:rsid w:val="00A750D4"/>
    <w:rsid w:val="00AE730A"/>
    <w:rsid w:val="00B275D3"/>
    <w:rsid w:val="00B93166"/>
    <w:rsid w:val="00BD7A21"/>
    <w:rsid w:val="00BF239E"/>
    <w:rsid w:val="00C13444"/>
    <w:rsid w:val="00CA579B"/>
    <w:rsid w:val="00D46D04"/>
    <w:rsid w:val="00D73388"/>
    <w:rsid w:val="00DA6F03"/>
    <w:rsid w:val="00F54C5E"/>
    <w:rsid w:val="00FB399A"/>
    <w:rsid w:val="00FD07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A99D0B"/>
  <w15:docId w15:val="{4A3B3EE4-B846-4FF3-9504-F0F73BC1E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6B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5166B4"/>
    <w:pPr>
      <w:jc w:val="center"/>
    </w:pPr>
    <w:rPr>
      <w:b/>
      <w:bCs/>
      <w:sz w:val="28"/>
      <w:szCs w:val="24"/>
      <w:lang w:val="id-ID"/>
    </w:rPr>
  </w:style>
  <w:style w:type="character" w:customStyle="1" w:styleId="TitleChar">
    <w:name w:val="Title Char"/>
    <w:basedOn w:val="DefaultParagraphFont"/>
    <w:link w:val="Title"/>
    <w:rsid w:val="005166B4"/>
    <w:rPr>
      <w:rFonts w:ascii="Times New Roman" w:eastAsia="Times New Roman" w:hAnsi="Times New Roman" w:cs="Times New Roman"/>
      <w:b/>
      <w:bCs/>
      <w:kern w:val="0"/>
      <w:sz w:val="28"/>
      <w:szCs w:val="24"/>
      <w:lang w:val="id-ID"/>
    </w:rPr>
  </w:style>
  <w:style w:type="table" w:styleId="TableGrid">
    <w:name w:val="Table Grid"/>
    <w:basedOn w:val="TableNormal"/>
    <w:rsid w:val="005166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166B4"/>
    <w:pPr>
      <w:tabs>
        <w:tab w:val="center" w:pos="4680"/>
        <w:tab w:val="right" w:pos="9360"/>
      </w:tabs>
    </w:pPr>
  </w:style>
  <w:style w:type="character" w:customStyle="1" w:styleId="HeaderChar">
    <w:name w:val="Header Char"/>
    <w:basedOn w:val="DefaultParagraphFont"/>
    <w:link w:val="Header"/>
    <w:uiPriority w:val="99"/>
    <w:rsid w:val="005166B4"/>
    <w:rPr>
      <w:rFonts w:ascii="Times New Roman" w:eastAsia="Times New Roman" w:hAnsi="Times New Roman" w:cs="Times New Roman"/>
      <w:kern w:val="0"/>
      <w:sz w:val="20"/>
      <w:szCs w:val="20"/>
    </w:rPr>
  </w:style>
  <w:style w:type="paragraph" w:styleId="Footer">
    <w:name w:val="footer"/>
    <w:basedOn w:val="Normal"/>
    <w:link w:val="FooterChar"/>
    <w:uiPriority w:val="99"/>
    <w:unhideWhenUsed/>
    <w:rsid w:val="005166B4"/>
    <w:pPr>
      <w:tabs>
        <w:tab w:val="center" w:pos="4680"/>
        <w:tab w:val="right" w:pos="9360"/>
      </w:tabs>
    </w:pPr>
  </w:style>
  <w:style w:type="character" w:customStyle="1" w:styleId="FooterChar">
    <w:name w:val="Footer Char"/>
    <w:basedOn w:val="DefaultParagraphFont"/>
    <w:link w:val="Footer"/>
    <w:uiPriority w:val="99"/>
    <w:rsid w:val="005166B4"/>
    <w:rPr>
      <w:rFonts w:ascii="Times New Roman" w:eastAsia="Times New Roman" w:hAnsi="Times New Roman" w:cs="Times New Roman"/>
      <w:kern w:val="0"/>
      <w:sz w:val="20"/>
      <w:szCs w:val="20"/>
    </w:rPr>
  </w:style>
  <w:style w:type="paragraph" w:customStyle="1" w:styleId="Default">
    <w:name w:val="Default"/>
    <w:rsid w:val="004A6F15"/>
    <w:pPr>
      <w:widowControl w:val="0"/>
      <w:autoSpaceDE w:val="0"/>
      <w:autoSpaceDN w:val="0"/>
      <w:adjustRightInd w:val="0"/>
    </w:pPr>
    <w:rPr>
      <w:rFonts w:cs="Angsana New"/>
      <w:color w:val="000000"/>
      <w:sz w:val="24"/>
      <w:szCs w:val="24"/>
    </w:rPr>
  </w:style>
  <w:style w:type="character" w:customStyle="1" w:styleId="apple-style-span">
    <w:name w:val="apple-style-span"/>
    <w:basedOn w:val="DefaultParagraphFont"/>
    <w:rsid w:val="004A6F15"/>
  </w:style>
  <w:style w:type="paragraph" w:styleId="ListParagraph">
    <w:name w:val="List Paragraph"/>
    <w:basedOn w:val="Normal"/>
    <w:qFormat/>
    <w:rsid w:val="004A6F15"/>
    <w:pPr>
      <w:spacing w:after="200" w:line="276" w:lineRule="auto"/>
      <w:ind w:left="720"/>
      <w:contextualSpacing/>
    </w:pPr>
    <w:rPr>
      <w:rFonts w:ascii="Calibri" w:hAnsi="Calibri"/>
      <w:sz w:val="22"/>
      <w:szCs w:val="22"/>
      <w:lang w:val="en-GB" w:eastAsia="en-GB"/>
    </w:rPr>
  </w:style>
  <w:style w:type="character" w:customStyle="1" w:styleId="fontstyle01">
    <w:name w:val="fontstyle01"/>
    <w:basedOn w:val="DefaultParagraphFont"/>
    <w:rsid w:val="004A6F15"/>
    <w:rPr>
      <w:rFonts w:ascii="NimbusRomNo9L-Medi" w:hAnsi="NimbusRomNo9L-Medi" w:hint="default"/>
      <w:b/>
      <w:bCs/>
      <w:i w:val="0"/>
      <w:iCs w:val="0"/>
      <w:color w:val="000000"/>
      <w:sz w:val="20"/>
      <w:szCs w:val="20"/>
    </w:rPr>
  </w:style>
  <w:style w:type="character" w:customStyle="1" w:styleId="fontstyle21">
    <w:name w:val="fontstyle21"/>
    <w:basedOn w:val="DefaultParagraphFont"/>
    <w:rsid w:val="004A6F15"/>
    <w:rPr>
      <w:rFonts w:ascii="NimbusRomNo9L-Regu" w:hAnsi="NimbusRomNo9L-Regu" w:hint="default"/>
      <w:b w:val="0"/>
      <w:bCs w:val="0"/>
      <w:i w:val="0"/>
      <w:iCs w:val="0"/>
      <w:color w:val="000000"/>
      <w:sz w:val="20"/>
      <w:szCs w:val="20"/>
    </w:rPr>
  </w:style>
  <w:style w:type="character" w:styleId="Hyperlink">
    <w:name w:val="Hyperlink"/>
    <w:basedOn w:val="DefaultParagraphFont"/>
    <w:uiPriority w:val="99"/>
    <w:unhideWhenUsed/>
    <w:rsid w:val="004A6F15"/>
    <w:rPr>
      <w:color w:val="0563C1" w:themeColor="hyperlink"/>
      <w:u w:val="single"/>
    </w:rPr>
  </w:style>
  <w:style w:type="character" w:styleId="UnresolvedMention">
    <w:name w:val="Unresolved Mention"/>
    <w:basedOn w:val="DefaultParagraphFont"/>
    <w:uiPriority w:val="99"/>
    <w:semiHidden/>
    <w:unhideWhenUsed/>
    <w:rsid w:val="004A6F15"/>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paragraph" w:styleId="HTMLPreformatted">
    <w:name w:val="HTML Preformatted"/>
    <w:basedOn w:val="Normal"/>
    <w:link w:val="HTMLPreformattedChar"/>
    <w:uiPriority w:val="99"/>
    <w:semiHidden/>
    <w:unhideWhenUsed/>
    <w:rsid w:val="009635F0"/>
    <w:rPr>
      <w:rFonts w:ascii="Consolas" w:hAnsi="Consolas"/>
    </w:rPr>
  </w:style>
  <w:style w:type="character" w:customStyle="1" w:styleId="HTMLPreformattedChar">
    <w:name w:val="HTML Preformatted Char"/>
    <w:basedOn w:val="DefaultParagraphFont"/>
    <w:link w:val="HTMLPreformatted"/>
    <w:uiPriority w:val="99"/>
    <w:semiHidden/>
    <w:rsid w:val="009635F0"/>
    <w:rPr>
      <w:rFonts w:ascii="Consolas" w:hAnsi="Consolas"/>
    </w:rPr>
  </w:style>
  <w:style w:type="table" w:customStyle="1" w:styleId="TableGrid1">
    <w:name w:val="Table Grid1"/>
    <w:basedOn w:val="TableNormal"/>
    <w:next w:val="TableGrid"/>
    <w:uiPriority w:val="39"/>
    <w:rsid w:val="00B9316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9316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9316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9316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9316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s://journal.lppmpelitabangsa.id/index.php/jespb"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s://journal.lppmpelitabangsa.id/index.php/jesp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HVw+RRdRQj6A5yINYmal7Zncbw==">CgMxLjAyCGguZ2pkZ3hzMgloLjMwajB6bGwyCWguMWZvYjl0ZTIJaC4zem55c2g3MgloLjJldDkycDAyCGgudHlqY3d0MgloLjNkeTZ2a20yCWguMXQzaDVzZjgAciExbVZ5WnFUaHh4YWRpWnFzbm5ZUnU0c21aS0VGQW52UTQ=</go:docsCustomData>
</go:gDocsCustomXmlDataStorage>
</file>

<file path=customXml/itemProps1.xml><?xml version="1.0" encoding="utf-8"?>
<ds:datastoreItem xmlns:ds="http://schemas.openxmlformats.org/officeDocument/2006/customXml" ds:itemID="{A308F9B5-928C-46BB-8E35-A849F77287B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14</Pages>
  <Words>7041</Words>
  <Characters>40134</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Hamdan Ainulyaqin</dc:creator>
  <cp:lastModifiedBy>Hamdan Ainulyaqin</cp:lastModifiedBy>
  <cp:revision>13</cp:revision>
  <dcterms:created xsi:type="dcterms:W3CDTF">2026-06-08T05:23:00Z</dcterms:created>
  <dcterms:modified xsi:type="dcterms:W3CDTF">2026-10-24T01:58:00Z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0f4c48e7-e620-3011-b45d-13df72497cbe</vt:lpwstr>
  </property>
  <property fmtid="{D5CDD505-2E9C-101B-9397-08002B2CF9AE}" pid="4" name="Mendeley Citation Style_1">
    <vt:lpwstr>http://www.zotero.org/styles/apa</vt:lpwstr>
  </property>
</Properties>
</file>